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E99" w14:textId="77777777" w:rsidR="004E2991" w:rsidRDefault="004E2991" w:rsidP="0098115B">
      <w:pPr>
        <w:rPr>
          <w:rFonts w:ascii="Impact" w:hAnsi="Impact"/>
          <w:b/>
          <w:bCs/>
          <w:color w:val="002060"/>
          <w:sz w:val="72"/>
          <w:szCs w:val="96"/>
          <w:lang w:val="en-GB"/>
        </w:rPr>
      </w:pPr>
    </w:p>
    <w:p w14:paraId="35423C98" w14:textId="25D29FB8" w:rsidR="0098115B" w:rsidRPr="00563654" w:rsidRDefault="0098115B" w:rsidP="0098115B">
      <w:pPr>
        <w:rPr>
          <w:rFonts w:ascii="Impact" w:hAnsi="Impact"/>
          <w:b/>
          <w:bCs/>
          <w:color w:val="002060"/>
          <w:sz w:val="72"/>
          <w:szCs w:val="96"/>
          <w:lang w:val="en-GB"/>
        </w:rPr>
      </w:pPr>
      <w:r w:rsidRPr="00563654">
        <w:rPr>
          <w:rFonts w:ascii="Impact" w:hAnsi="Impact"/>
          <w:b/>
          <w:bCs/>
          <w:color w:val="002060"/>
          <w:sz w:val="72"/>
          <w:szCs w:val="96"/>
          <w:lang w:val="en-GB"/>
        </w:rPr>
        <w:t>SAFEGUARDING POLICY</w:t>
      </w:r>
      <w:r w:rsidR="00F42633">
        <w:rPr>
          <w:rFonts w:ascii="Impact" w:hAnsi="Impact"/>
          <w:b/>
          <w:bCs/>
          <w:color w:val="002060"/>
          <w:sz w:val="72"/>
          <w:szCs w:val="96"/>
          <w:lang w:val="en-GB"/>
        </w:rPr>
        <w:t xml:space="preserve"> AND PROCEDURES</w:t>
      </w:r>
    </w:p>
    <w:p w14:paraId="491B639E"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8B79B59"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16F4E04" w14:textId="77777777" w:rsidR="0098115B" w:rsidRPr="00BE68D2" w:rsidRDefault="0098115B" w:rsidP="0098115B">
      <w:pPr>
        <w:rPr>
          <w:highlight w:val="yellow"/>
        </w:rPr>
      </w:pPr>
    </w:p>
    <w:p w14:paraId="4610BF8D" w14:textId="77777777" w:rsidR="0098115B" w:rsidRPr="00BE68D2" w:rsidRDefault="0098115B" w:rsidP="0098115B">
      <w:pPr>
        <w:rPr>
          <w:highlight w:val="yellow"/>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77777777" w:rsidR="0098115B" w:rsidRPr="00BE68D2" w:rsidRDefault="0098115B" w:rsidP="0098115B">
      <w:pPr>
        <w:jc w:val="both"/>
        <w:rPr>
          <w:lang w:val="en-GB"/>
        </w:rPr>
      </w:pPr>
      <w:r>
        <w:rPr>
          <w:b/>
          <w:bCs/>
          <w:sz w:val="72"/>
          <w:szCs w:val="96"/>
          <w:highlight w:val="yellow"/>
          <w:lang w:val="en-GB"/>
        </w:rPr>
        <w:br w:type="page"/>
      </w:r>
    </w:p>
    <w:p w14:paraId="6EBE0E27" w14:textId="1076DDD3" w:rsidR="0098115B" w:rsidRPr="004E2991" w:rsidRDefault="007C72DC" w:rsidP="0098115B">
      <w:pPr>
        <w:pStyle w:val="LTAChapterHeading"/>
        <w:rPr>
          <w:sz w:val="52"/>
          <w:szCs w:val="36"/>
        </w:rPr>
      </w:pPr>
      <w:r>
        <w:rPr>
          <w:sz w:val="52"/>
          <w:szCs w:val="36"/>
        </w:rPr>
        <w:lastRenderedPageBreak/>
        <w:t>Saxmundham Sports TENNIS</w:t>
      </w:r>
      <w:r w:rsidR="0098115B" w:rsidRPr="004E2991">
        <w:rPr>
          <w:sz w:val="52"/>
          <w:szCs w:val="36"/>
        </w:rPr>
        <w:t xml:space="preserve">  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634787">
            <w:rPr>
              <w:highlight w:val="green"/>
            </w:rPr>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673645">
          <w:pPr>
            <w:pStyle w:val="TOC1"/>
            <w:rPr>
              <w:rFonts w:asciiTheme="minorHAnsi" w:eastAsiaTheme="minorEastAsia" w:hAnsiTheme="minorHAnsi" w:cstheme="minorBidi"/>
              <w:noProof/>
              <w:szCs w:val="22"/>
              <w:lang w:val="en-GB" w:eastAsia="en-GB"/>
            </w:rPr>
          </w:pPr>
          <w:hyperlink w:anchor="_Toc126140418" w:history="1">
            <w:r w:rsidR="00C13553" w:rsidRPr="00492B8C">
              <w:rPr>
                <w:rStyle w:val="Hyperlink"/>
                <w:noProof/>
              </w:rPr>
              <w:t>Policy Principles</w:t>
            </w:r>
            <w:r w:rsidR="00C13553">
              <w:rPr>
                <w:noProof/>
                <w:webHidden/>
              </w:rPr>
              <w:tab/>
            </w:r>
            <w:r w:rsidR="00C13553">
              <w:rPr>
                <w:noProof/>
                <w:webHidden/>
              </w:rPr>
              <w:fldChar w:fldCharType="begin"/>
            </w:r>
            <w:r w:rsidR="00C13553">
              <w:rPr>
                <w:noProof/>
                <w:webHidden/>
              </w:rPr>
              <w:instrText xml:space="preserve"> PAGEREF _Toc126140418 \h </w:instrText>
            </w:r>
            <w:r w:rsidR="00C13553">
              <w:rPr>
                <w:noProof/>
                <w:webHidden/>
              </w:rPr>
            </w:r>
            <w:r w:rsidR="00C13553">
              <w:rPr>
                <w:noProof/>
                <w:webHidden/>
              </w:rPr>
              <w:fldChar w:fldCharType="separate"/>
            </w:r>
            <w:r w:rsidR="00C13553">
              <w:rPr>
                <w:noProof/>
                <w:webHidden/>
              </w:rPr>
              <w:t>3</w:t>
            </w:r>
            <w:r w:rsidR="00C13553">
              <w:rPr>
                <w:noProof/>
                <w:webHidden/>
              </w:rPr>
              <w:fldChar w:fldCharType="end"/>
            </w:r>
          </w:hyperlink>
        </w:p>
        <w:p w14:paraId="4285B658" w14:textId="1FA02D16" w:rsidR="00C13553" w:rsidRDefault="00673645">
          <w:pPr>
            <w:pStyle w:val="TOC1"/>
            <w:rPr>
              <w:rFonts w:asciiTheme="minorHAnsi" w:eastAsiaTheme="minorEastAsia" w:hAnsiTheme="minorHAnsi" w:cstheme="minorBidi"/>
              <w:noProof/>
              <w:szCs w:val="22"/>
              <w:lang w:val="en-GB" w:eastAsia="en-GB"/>
            </w:rPr>
          </w:pPr>
          <w:hyperlink w:anchor="_Toc126140419" w:history="1">
            <w:r w:rsidR="00C13553" w:rsidRPr="00492B8C">
              <w:rPr>
                <w:rStyle w:val="Hyperlink"/>
                <w:noProof/>
              </w:rPr>
              <w:t xml:space="preserve">Responsibility </w:t>
            </w:r>
            <w:r w:rsidR="00C13553">
              <w:rPr>
                <w:rStyle w:val="Hyperlink"/>
                <w:noProof/>
              </w:rPr>
              <w:t>f</w:t>
            </w:r>
            <w:r w:rsidR="00C13553" w:rsidRPr="00492B8C">
              <w:rPr>
                <w:rStyle w:val="Hyperlink"/>
                <w:noProof/>
              </w:rPr>
              <w:t>or Safeguarding</w:t>
            </w:r>
            <w:r w:rsidR="00C13553">
              <w:rPr>
                <w:noProof/>
                <w:webHidden/>
              </w:rPr>
              <w:tab/>
            </w:r>
            <w:r w:rsidR="00C13553">
              <w:rPr>
                <w:noProof/>
                <w:webHidden/>
              </w:rPr>
              <w:fldChar w:fldCharType="begin"/>
            </w:r>
            <w:r w:rsidR="00C13553">
              <w:rPr>
                <w:noProof/>
                <w:webHidden/>
              </w:rPr>
              <w:instrText xml:space="preserve"> PAGEREF _Toc126140419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1EB13167" w14:textId="0DBE8FCF" w:rsidR="00C13553" w:rsidRDefault="00673645">
          <w:pPr>
            <w:pStyle w:val="TOC1"/>
            <w:rPr>
              <w:rFonts w:asciiTheme="minorHAnsi" w:eastAsiaTheme="minorEastAsia" w:hAnsiTheme="minorHAnsi" w:cstheme="minorBidi"/>
              <w:noProof/>
              <w:szCs w:val="22"/>
              <w:lang w:val="en-GB" w:eastAsia="en-GB"/>
            </w:rPr>
          </w:pPr>
          <w:hyperlink w:anchor="_Toc126140420" w:history="1">
            <w:r w:rsidR="00C13553" w:rsidRPr="00492B8C">
              <w:rPr>
                <w:rStyle w:val="Hyperlink"/>
                <w:noProof/>
              </w:rPr>
              <w:t>Policy Aims</w:t>
            </w:r>
            <w:r w:rsidR="00C13553">
              <w:rPr>
                <w:noProof/>
                <w:webHidden/>
              </w:rPr>
              <w:tab/>
            </w:r>
            <w:r w:rsidR="00C13553">
              <w:rPr>
                <w:noProof/>
                <w:webHidden/>
              </w:rPr>
              <w:fldChar w:fldCharType="begin"/>
            </w:r>
            <w:r w:rsidR="00C13553">
              <w:rPr>
                <w:noProof/>
                <w:webHidden/>
              </w:rPr>
              <w:instrText xml:space="preserve"> PAGEREF _Toc126140420 \h </w:instrText>
            </w:r>
            <w:r w:rsidR="00C13553">
              <w:rPr>
                <w:noProof/>
                <w:webHidden/>
              </w:rPr>
            </w:r>
            <w:r w:rsidR="00C13553">
              <w:rPr>
                <w:noProof/>
                <w:webHidden/>
              </w:rPr>
              <w:fldChar w:fldCharType="separate"/>
            </w:r>
            <w:r w:rsidR="00C13553">
              <w:rPr>
                <w:noProof/>
                <w:webHidden/>
              </w:rPr>
              <w:t>4</w:t>
            </w:r>
            <w:r w:rsidR="00C13553">
              <w:rPr>
                <w:noProof/>
                <w:webHidden/>
              </w:rPr>
              <w:fldChar w:fldCharType="end"/>
            </w:r>
          </w:hyperlink>
        </w:p>
        <w:p w14:paraId="0EC0F152" w14:textId="16578ADA" w:rsidR="00C13553" w:rsidRDefault="00673645">
          <w:pPr>
            <w:pStyle w:val="TOC1"/>
            <w:rPr>
              <w:rFonts w:asciiTheme="minorHAnsi" w:eastAsiaTheme="minorEastAsia" w:hAnsiTheme="minorHAnsi" w:cstheme="minorBidi"/>
              <w:noProof/>
              <w:szCs w:val="22"/>
              <w:lang w:val="en-GB" w:eastAsia="en-GB"/>
            </w:rPr>
          </w:pPr>
          <w:hyperlink w:anchor="_Toc126140421" w:history="1">
            <w:r w:rsidR="00C13553" w:rsidRPr="00492B8C">
              <w:rPr>
                <w:rStyle w:val="Hyperlink"/>
                <w:noProof/>
              </w:rPr>
              <w:t>Definitions</w:t>
            </w:r>
            <w:r w:rsidR="00C13553">
              <w:rPr>
                <w:noProof/>
                <w:webHidden/>
              </w:rPr>
              <w:tab/>
            </w:r>
            <w:r w:rsidR="00C13553">
              <w:rPr>
                <w:noProof/>
                <w:webHidden/>
              </w:rPr>
              <w:fldChar w:fldCharType="begin"/>
            </w:r>
            <w:r w:rsidR="00C13553">
              <w:rPr>
                <w:noProof/>
                <w:webHidden/>
              </w:rPr>
              <w:instrText xml:space="preserve"> PAGEREF _Toc126140421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1AF69369" w14:textId="4F29A7AC" w:rsidR="00C13553" w:rsidRDefault="00673645">
          <w:pPr>
            <w:pStyle w:val="TOC1"/>
            <w:rPr>
              <w:rFonts w:asciiTheme="minorHAnsi" w:eastAsiaTheme="minorEastAsia" w:hAnsiTheme="minorHAnsi" w:cstheme="minorBidi"/>
              <w:noProof/>
              <w:szCs w:val="22"/>
              <w:lang w:val="en-GB" w:eastAsia="en-GB"/>
            </w:rPr>
          </w:pPr>
          <w:hyperlink w:anchor="_Toc126140422" w:history="1">
            <w:r w:rsidR="00C13553" w:rsidRPr="00492B8C">
              <w:rPr>
                <w:rStyle w:val="Hyperlink"/>
                <w:noProof/>
              </w:rPr>
              <w:t>Recruitment</w:t>
            </w:r>
            <w:r w:rsidR="00C13553">
              <w:rPr>
                <w:noProof/>
                <w:webHidden/>
              </w:rPr>
              <w:tab/>
            </w:r>
            <w:r w:rsidR="00C13553">
              <w:rPr>
                <w:noProof/>
                <w:webHidden/>
              </w:rPr>
              <w:fldChar w:fldCharType="begin"/>
            </w:r>
            <w:r w:rsidR="00C13553">
              <w:rPr>
                <w:noProof/>
                <w:webHidden/>
              </w:rPr>
              <w:instrText xml:space="preserve"> PAGEREF _Toc126140422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081D49A" w14:textId="222DA4B0" w:rsidR="00C13553" w:rsidRDefault="00673645">
          <w:pPr>
            <w:pStyle w:val="TOC1"/>
            <w:rPr>
              <w:rFonts w:asciiTheme="minorHAnsi" w:eastAsiaTheme="minorEastAsia" w:hAnsiTheme="minorHAnsi" w:cstheme="minorBidi"/>
              <w:noProof/>
              <w:szCs w:val="22"/>
              <w:lang w:val="en-GB" w:eastAsia="en-GB"/>
            </w:rPr>
          </w:pPr>
          <w:hyperlink w:anchor="_Toc126140423" w:history="1">
            <w:r w:rsidR="00C13553" w:rsidRPr="00492B8C">
              <w:rPr>
                <w:rStyle w:val="Hyperlink"/>
                <w:noProof/>
              </w:rPr>
              <w:t>Training</w:t>
            </w:r>
            <w:r w:rsidR="00C13553">
              <w:rPr>
                <w:noProof/>
                <w:webHidden/>
              </w:rPr>
              <w:tab/>
            </w:r>
            <w:r w:rsidR="00C13553">
              <w:rPr>
                <w:noProof/>
                <w:webHidden/>
              </w:rPr>
              <w:fldChar w:fldCharType="begin"/>
            </w:r>
            <w:r w:rsidR="00C13553">
              <w:rPr>
                <w:noProof/>
                <w:webHidden/>
              </w:rPr>
              <w:instrText xml:space="preserve"> PAGEREF _Toc126140423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673645">
          <w:pPr>
            <w:pStyle w:val="TOC1"/>
            <w:rPr>
              <w:rFonts w:asciiTheme="minorHAnsi" w:eastAsiaTheme="minorEastAsia" w:hAnsiTheme="minorHAnsi" w:cstheme="minorBidi"/>
              <w:noProof/>
              <w:szCs w:val="22"/>
              <w:lang w:val="en-GB" w:eastAsia="en-GB"/>
            </w:rPr>
          </w:pPr>
          <w:hyperlink w:anchor="_Toc126140425" w:history="1">
            <w:r w:rsidR="00C13553" w:rsidRPr="00492B8C">
              <w:rPr>
                <w:rStyle w:val="Hyperlink"/>
                <w:noProof/>
              </w:rPr>
              <w:t>Transportation</w:t>
            </w:r>
            <w:r w:rsidR="00C13553">
              <w:rPr>
                <w:noProof/>
                <w:webHidden/>
              </w:rPr>
              <w:tab/>
            </w:r>
            <w:r w:rsidR="00C13553">
              <w:rPr>
                <w:noProof/>
                <w:webHidden/>
              </w:rPr>
              <w:fldChar w:fldCharType="begin"/>
            </w:r>
            <w:r w:rsidR="00C13553">
              <w:rPr>
                <w:noProof/>
                <w:webHidden/>
              </w:rPr>
              <w:instrText xml:space="preserve"> PAGEREF _Toc126140425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48633ABB" w14:textId="7C0AB192" w:rsidR="00C13553" w:rsidRDefault="00673645">
          <w:pPr>
            <w:pStyle w:val="TOC1"/>
            <w:rPr>
              <w:rFonts w:asciiTheme="minorHAnsi" w:eastAsiaTheme="minorEastAsia" w:hAnsiTheme="minorHAnsi" w:cstheme="minorBidi"/>
              <w:noProof/>
              <w:szCs w:val="22"/>
              <w:lang w:val="en-GB" w:eastAsia="en-GB"/>
            </w:rPr>
          </w:pPr>
          <w:hyperlink w:anchor="_Toc126140426" w:history="1">
            <w:r w:rsidR="00C13553" w:rsidRPr="00492B8C">
              <w:rPr>
                <w:rStyle w:val="Hyperlink"/>
                <w:noProof/>
              </w:rPr>
              <w:t>Supervising Children</w:t>
            </w:r>
            <w:r w:rsidR="00C13553">
              <w:rPr>
                <w:noProof/>
                <w:webHidden/>
              </w:rPr>
              <w:tab/>
            </w:r>
            <w:r w:rsidR="00C13553">
              <w:rPr>
                <w:noProof/>
                <w:webHidden/>
              </w:rPr>
              <w:fldChar w:fldCharType="begin"/>
            </w:r>
            <w:r w:rsidR="00C13553">
              <w:rPr>
                <w:noProof/>
                <w:webHidden/>
              </w:rPr>
              <w:instrText xml:space="preserve"> PAGEREF _Toc126140426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21D104B2" w14:textId="409564D3" w:rsidR="00C13553" w:rsidRDefault="00673645">
          <w:pPr>
            <w:pStyle w:val="TOC1"/>
            <w:rPr>
              <w:rFonts w:asciiTheme="minorHAnsi" w:eastAsiaTheme="minorEastAsia" w:hAnsiTheme="minorHAnsi" w:cstheme="minorBidi"/>
              <w:noProof/>
              <w:szCs w:val="22"/>
              <w:lang w:val="en-GB" w:eastAsia="en-GB"/>
            </w:rPr>
          </w:pPr>
          <w:hyperlink w:anchor="_Toc126140427" w:history="1">
            <w:r w:rsidR="00C13553" w:rsidRPr="00492B8C">
              <w:rPr>
                <w:rStyle w:val="Hyperlink"/>
                <w:noProof/>
              </w:rPr>
              <w:t xml:space="preserve">Positions </w:t>
            </w:r>
            <w:r w:rsidR="00C13553">
              <w:rPr>
                <w:rStyle w:val="Hyperlink"/>
                <w:noProof/>
              </w:rPr>
              <w:t>o</w:t>
            </w:r>
            <w:r w:rsidR="00C13553" w:rsidRPr="00492B8C">
              <w:rPr>
                <w:rStyle w:val="Hyperlink"/>
                <w:noProof/>
              </w:rPr>
              <w:t>f Trust</w:t>
            </w:r>
            <w:r w:rsidR="00C13553">
              <w:rPr>
                <w:noProof/>
                <w:webHidden/>
              </w:rPr>
              <w:tab/>
            </w:r>
            <w:r w:rsidR="00C13553">
              <w:rPr>
                <w:noProof/>
                <w:webHidden/>
              </w:rPr>
              <w:fldChar w:fldCharType="begin"/>
            </w:r>
            <w:r w:rsidR="00C13553">
              <w:rPr>
                <w:noProof/>
                <w:webHidden/>
              </w:rPr>
              <w:instrText xml:space="preserve"> PAGEREF _Toc126140427 \h </w:instrText>
            </w:r>
            <w:r w:rsidR="00C13553">
              <w:rPr>
                <w:noProof/>
                <w:webHidden/>
              </w:rPr>
            </w:r>
            <w:r w:rsidR="00C13553">
              <w:rPr>
                <w:noProof/>
                <w:webHidden/>
              </w:rPr>
              <w:fldChar w:fldCharType="separate"/>
            </w:r>
            <w:r w:rsidR="00C13553">
              <w:rPr>
                <w:noProof/>
                <w:webHidden/>
              </w:rPr>
              <w:t>6</w:t>
            </w:r>
            <w:r w:rsidR="00C13553">
              <w:rPr>
                <w:noProof/>
                <w:webHidden/>
              </w:rPr>
              <w:fldChar w:fldCharType="end"/>
            </w:r>
          </w:hyperlink>
        </w:p>
        <w:p w14:paraId="6AADD9E8" w14:textId="2E5F64A8" w:rsidR="00C13553" w:rsidRDefault="00673645">
          <w:pPr>
            <w:pStyle w:val="TOC1"/>
            <w:rPr>
              <w:rFonts w:asciiTheme="minorHAnsi" w:eastAsiaTheme="minorEastAsia" w:hAnsiTheme="minorHAnsi" w:cstheme="minorBidi"/>
              <w:noProof/>
              <w:szCs w:val="22"/>
              <w:lang w:val="en-GB" w:eastAsia="en-GB"/>
            </w:rPr>
          </w:pPr>
          <w:hyperlink w:anchor="_Toc126140428" w:history="1">
            <w:r w:rsidR="00C13553" w:rsidRPr="00492B8C">
              <w:rPr>
                <w:rStyle w:val="Hyperlink"/>
                <w:noProof/>
              </w:rPr>
              <w:t xml:space="preserve">Types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_Toc126140428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2A8D90CB" w14:textId="0C5748D0" w:rsidR="00C13553" w:rsidRDefault="00673645">
          <w:pPr>
            <w:pStyle w:val="TOC1"/>
            <w:rPr>
              <w:rFonts w:asciiTheme="minorHAnsi" w:eastAsiaTheme="minorEastAsia" w:hAnsiTheme="minorHAnsi" w:cstheme="minorBidi"/>
              <w:noProof/>
              <w:szCs w:val="22"/>
              <w:lang w:val="en-GB" w:eastAsia="en-GB"/>
            </w:rPr>
          </w:pPr>
          <w:hyperlink w:anchor="_Toc126140429" w:history="1">
            <w:r w:rsidR="00C13553" w:rsidRPr="00492B8C">
              <w:rPr>
                <w:rStyle w:val="Hyperlink"/>
                <w:noProof/>
              </w:rPr>
              <w:t xml:space="preserve">Increased Vulnerability </w:t>
            </w:r>
            <w:r w:rsidR="00C13553">
              <w:rPr>
                <w:rStyle w:val="Hyperlink"/>
                <w:noProof/>
              </w:rPr>
              <w:t>t</w:t>
            </w:r>
            <w:r w:rsidR="00C13553" w:rsidRPr="00492B8C">
              <w:rPr>
                <w:rStyle w:val="Hyperlink"/>
                <w:noProof/>
              </w:rPr>
              <w:t>o Abuse</w:t>
            </w:r>
            <w:r w:rsidR="00C13553">
              <w:rPr>
                <w:noProof/>
                <w:webHidden/>
              </w:rPr>
              <w:tab/>
            </w:r>
            <w:r w:rsidR="00C13553">
              <w:rPr>
                <w:noProof/>
                <w:webHidden/>
              </w:rPr>
              <w:fldChar w:fldCharType="begin"/>
            </w:r>
            <w:r w:rsidR="00C13553">
              <w:rPr>
                <w:noProof/>
                <w:webHidden/>
              </w:rPr>
              <w:instrText xml:space="preserve"> PAGEREF _Toc126140429 \h </w:instrText>
            </w:r>
            <w:r w:rsidR="00C13553">
              <w:rPr>
                <w:noProof/>
                <w:webHidden/>
              </w:rPr>
            </w:r>
            <w:r w:rsidR="00C13553">
              <w:rPr>
                <w:noProof/>
                <w:webHidden/>
              </w:rPr>
              <w:fldChar w:fldCharType="separate"/>
            </w:r>
            <w:r w:rsidR="00C13553">
              <w:rPr>
                <w:noProof/>
                <w:webHidden/>
              </w:rPr>
              <w:t>7</w:t>
            </w:r>
            <w:r w:rsidR="00C13553">
              <w:rPr>
                <w:noProof/>
                <w:webHidden/>
              </w:rPr>
              <w:fldChar w:fldCharType="end"/>
            </w:r>
          </w:hyperlink>
        </w:p>
        <w:p w14:paraId="13F88AB9" w14:textId="0427DAF2" w:rsidR="00C13553" w:rsidRDefault="00673645">
          <w:pPr>
            <w:pStyle w:val="TOC1"/>
            <w:rPr>
              <w:rFonts w:asciiTheme="minorHAnsi" w:eastAsiaTheme="minorEastAsia" w:hAnsiTheme="minorHAnsi" w:cstheme="minorBidi"/>
              <w:noProof/>
              <w:szCs w:val="22"/>
              <w:lang w:val="en-GB" w:eastAsia="en-GB"/>
            </w:rPr>
          </w:pPr>
          <w:hyperlink w:anchor="_Toc126140430" w:history="1">
            <w:r w:rsidR="00C13553" w:rsidRPr="00492B8C">
              <w:rPr>
                <w:rStyle w:val="Hyperlink"/>
                <w:noProof/>
              </w:rPr>
              <w:t>Low Level Concerns</w:t>
            </w:r>
            <w:r w:rsidR="00C13553">
              <w:rPr>
                <w:noProof/>
                <w:webHidden/>
              </w:rPr>
              <w:tab/>
            </w:r>
            <w:r w:rsidR="00C13553">
              <w:rPr>
                <w:noProof/>
                <w:webHidden/>
              </w:rPr>
              <w:fldChar w:fldCharType="begin"/>
            </w:r>
            <w:r w:rsidR="00C13553">
              <w:rPr>
                <w:noProof/>
                <w:webHidden/>
              </w:rPr>
              <w:instrText xml:space="preserve"> PAGEREF _Toc126140430 \h </w:instrText>
            </w:r>
            <w:r w:rsidR="00C13553">
              <w:rPr>
                <w:noProof/>
                <w:webHidden/>
              </w:rPr>
            </w:r>
            <w:r w:rsidR="00C13553">
              <w:rPr>
                <w:noProof/>
                <w:webHidden/>
              </w:rPr>
              <w:fldChar w:fldCharType="separate"/>
            </w:r>
            <w:r w:rsidR="00C13553">
              <w:rPr>
                <w:noProof/>
                <w:webHidden/>
              </w:rPr>
              <w:t>8</w:t>
            </w:r>
            <w:r w:rsidR="00C13553">
              <w:rPr>
                <w:noProof/>
                <w:webHidden/>
              </w:rPr>
              <w:fldChar w:fldCharType="end"/>
            </w:r>
          </w:hyperlink>
        </w:p>
        <w:p w14:paraId="40EE9FEB" w14:textId="4335C388" w:rsidR="00C13553" w:rsidRDefault="00673645">
          <w:pPr>
            <w:pStyle w:val="TOC1"/>
            <w:rPr>
              <w:rFonts w:asciiTheme="minorHAnsi" w:eastAsiaTheme="minorEastAsia" w:hAnsiTheme="minorHAnsi" w:cstheme="minorBidi"/>
              <w:noProof/>
              <w:szCs w:val="22"/>
              <w:lang w:val="en-GB" w:eastAsia="en-GB"/>
            </w:rPr>
          </w:pPr>
          <w:hyperlink w:anchor="_Toc126140431"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Safeguarding Concern </w:t>
            </w:r>
            <w:r w:rsidR="00C13553">
              <w:rPr>
                <w:rStyle w:val="Hyperlink"/>
                <w:noProof/>
              </w:rPr>
              <w:t>o</w:t>
            </w:r>
            <w:r w:rsidR="00C13553" w:rsidRPr="00492B8C">
              <w:rPr>
                <w:rStyle w:val="Hyperlink"/>
                <w:noProof/>
              </w:rPr>
              <w:t>r Allegation</w:t>
            </w:r>
            <w:r w:rsidR="00C13553">
              <w:rPr>
                <w:noProof/>
                <w:webHidden/>
              </w:rPr>
              <w:tab/>
            </w:r>
            <w:r w:rsidR="00C13553">
              <w:rPr>
                <w:noProof/>
                <w:webHidden/>
              </w:rPr>
              <w:fldChar w:fldCharType="begin"/>
            </w:r>
            <w:r w:rsidR="00C13553">
              <w:rPr>
                <w:noProof/>
                <w:webHidden/>
              </w:rPr>
              <w:instrText xml:space="preserve"> PAGEREF _Toc126140431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1D79C381" w14:textId="05F0F2D0" w:rsidR="00C13553" w:rsidRDefault="00673645">
          <w:pPr>
            <w:pStyle w:val="TOC1"/>
            <w:rPr>
              <w:rFonts w:asciiTheme="minorHAnsi" w:eastAsiaTheme="minorEastAsia" w:hAnsiTheme="minorHAnsi" w:cstheme="minorBidi"/>
              <w:noProof/>
              <w:szCs w:val="22"/>
              <w:lang w:val="en-GB" w:eastAsia="en-GB"/>
            </w:rPr>
          </w:pPr>
          <w:hyperlink w:anchor="_Toc126140432" w:history="1">
            <w:r w:rsidR="00C13553" w:rsidRPr="00492B8C">
              <w:rPr>
                <w:rStyle w:val="Hyperlink"/>
                <w:noProof/>
              </w:rPr>
              <w:t xml:space="preserve">Responding </w:t>
            </w:r>
            <w:r w:rsidR="00C13553">
              <w:rPr>
                <w:rStyle w:val="Hyperlink"/>
                <w:noProof/>
              </w:rPr>
              <w:t>t</w:t>
            </w:r>
            <w:r w:rsidR="00C13553" w:rsidRPr="00492B8C">
              <w:rPr>
                <w:rStyle w:val="Hyperlink"/>
                <w:noProof/>
              </w:rPr>
              <w:t xml:space="preserve">o </w:t>
            </w:r>
            <w:r w:rsidR="00C13553">
              <w:rPr>
                <w:rStyle w:val="Hyperlink"/>
                <w:noProof/>
              </w:rPr>
              <w:t>a</w:t>
            </w:r>
            <w:r w:rsidR="00C13553" w:rsidRPr="00492B8C">
              <w:rPr>
                <w:rStyle w:val="Hyperlink"/>
                <w:noProof/>
              </w:rPr>
              <w:t xml:space="preserve"> Disclosure </w:t>
            </w:r>
            <w:r w:rsidR="00C13553">
              <w:rPr>
                <w:rStyle w:val="Hyperlink"/>
                <w:noProof/>
              </w:rPr>
              <w:t>o</w:t>
            </w:r>
            <w:r w:rsidR="00C13553" w:rsidRPr="00492B8C">
              <w:rPr>
                <w:rStyle w:val="Hyperlink"/>
                <w:noProof/>
              </w:rPr>
              <w:t>f Abuse</w:t>
            </w:r>
            <w:r w:rsidR="00C13553">
              <w:rPr>
                <w:noProof/>
                <w:webHidden/>
              </w:rPr>
              <w:tab/>
            </w:r>
            <w:r w:rsidR="00C13553">
              <w:rPr>
                <w:noProof/>
                <w:webHidden/>
              </w:rPr>
              <w:fldChar w:fldCharType="begin"/>
            </w:r>
            <w:r w:rsidR="00C13553">
              <w:rPr>
                <w:noProof/>
                <w:webHidden/>
              </w:rPr>
              <w:instrText xml:space="preserve"> PAGEREF _Toc126140432 \h </w:instrText>
            </w:r>
            <w:r w:rsidR="00C13553">
              <w:rPr>
                <w:noProof/>
                <w:webHidden/>
              </w:rPr>
            </w:r>
            <w:r w:rsidR="00C13553">
              <w:rPr>
                <w:noProof/>
                <w:webHidden/>
              </w:rPr>
              <w:fldChar w:fldCharType="separate"/>
            </w:r>
            <w:r w:rsidR="00C13553">
              <w:rPr>
                <w:noProof/>
                <w:webHidden/>
              </w:rPr>
              <w:t>9</w:t>
            </w:r>
            <w:r w:rsidR="00C13553">
              <w:rPr>
                <w:noProof/>
                <w:webHidden/>
              </w:rPr>
              <w:fldChar w:fldCharType="end"/>
            </w:r>
          </w:hyperlink>
        </w:p>
        <w:p w14:paraId="634DEA20" w14:textId="74658833" w:rsidR="00C13553" w:rsidRDefault="00673645">
          <w:pPr>
            <w:pStyle w:val="TOC1"/>
            <w:rPr>
              <w:rFonts w:asciiTheme="minorHAnsi" w:eastAsiaTheme="minorEastAsia" w:hAnsiTheme="minorHAnsi" w:cstheme="minorBidi"/>
              <w:noProof/>
              <w:szCs w:val="22"/>
              <w:lang w:val="en-GB" w:eastAsia="en-GB"/>
            </w:rPr>
          </w:pPr>
          <w:hyperlink w:anchor="_Toc126140433" w:history="1">
            <w:r w:rsidR="00C13553" w:rsidRPr="00492B8C">
              <w:rPr>
                <w:rStyle w:val="Hyperlink"/>
                <w:noProof/>
              </w:rPr>
              <w:t>Making Safeguarding Personal</w:t>
            </w:r>
            <w:r w:rsidR="00C13553">
              <w:rPr>
                <w:noProof/>
                <w:webHidden/>
              </w:rPr>
              <w:tab/>
            </w:r>
            <w:r w:rsidR="00C13553">
              <w:rPr>
                <w:noProof/>
                <w:webHidden/>
              </w:rPr>
              <w:fldChar w:fldCharType="begin"/>
            </w:r>
            <w:r w:rsidR="00C13553">
              <w:rPr>
                <w:noProof/>
                <w:webHidden/>
              </w:rPr>
              <w:instrText xml:space="preserve"> PAGEREF _Toc126140433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3F1BCBA8" w14:textId="29AFBF83" w:rsidR="00C13553" w:rsidRDefault="00673645">
          <w:pPr>
            <w:pStyle w:val="TOC1"/>
            <w:rPr>
              <w:rFonts w:asciiTheme="minorHAnsi" w:eastAsiaTheme="minorEastAsia" w:hAnsiTheme="minorHAnsi" w:cstheme="minorBidi"/>
              <w:noProof/>
              <w:szCs w:val="22"/>
              <w:lang w:val="en-GB" w:eastAsia="en-GB"/>
            </w:rPr>
          </w:pPr>
          <w:hyperlink w:anchor="_Toc126140434" w:history="1">
            <w:r w:rsidR="00C13553" w:rsidRPr="00492B8C">
              <w:rPr>
                <w:rStyle w:val="Hyperlink"/>
                <w:noProof/>
              </w:rPr>
              <w:t>Mental Capacity</w:t>
            </w:r>
            <w:r w:rsidR="00C13553">
              <w:rPr>
                <w:noProof/>
                <w:webHidden/>
              </w:rPr>
              <w:tab/>
            </w:r>
            <w:r w:rsidR="00C13553">
              <w:rPr>
                <w:noProof/>
                <w:webHidden/>
              </w:rPr>
              <w:fldChar w:fldCharType="begin"/>
            </w:r>
            <w:r w:rsidR="00C13553">
              <w:rPr>
                <w:noProof/>
                <w:webHidden/>
              </w:rPr>
              <w:instrText xml:space="preserve"> PAGEREF _Toc126140434 \h </w:instrText>
            </w:r>
            <w:r w:rsidR="00C13553">
              <w:rPr>
                <w:noProof/>
                <w:webHidden/>
              </w:rPr>
            </w:r>
            <w:r w:rsidR="00C13553">
              <w:rPr>
                <w:noProof/>
                <w:webHidden/>
              </w:rPr>
              <w:fldChar w:fldCharType="separate"/>
            </w:r>
            <w:r w:rsidR="00C13553">
              <w:rPr>
                <w:noProof/>
                <w:webHidden/>
              </w:rPr>
              <w:t>10</w:t>
            </w:r>
            <w:r w:rsidR="00C13553">
              <w:rPr>
                <w:noProof/>
                <w:webHidden/>
              </w:rPr>
              <w:fldChar w:fldCharType="end"/>
            </w:r>
          </w:hyperlink>
        </w:p>
        <w:p w14:paraId="2860B371" w14:textId="69162391" w:rsidR="00C13553" w:rsidRDefault="00673645">
          <w:pPr>
            <w:pStyle w:val="TOC1"/>
            <w:rPr>
              <w:rFonts w:asciiTheme="minorHAnsi" w:eastAsiaTheme="minorEastAsia" w:hAnsiTheme="minorHAnsi" w:cstheme="minorBidi"/>
              <w:noProof/>
              <w:szCs w:val="22"/>
              <w:lang w:val="en-GB" w:eastAsia="en-GB"/>
            </w:rPr>
          </w:pPr>
          <w:hyperlink w:anchor="_Toc126140435" w:history="1">
            <w:r w:rsidR="00C13553" w:rsidRPr="00492B8C">
              <w:rPr>
                <w:rStyle w:val="Hyperlink"/>
                <w:noProof/>
              </w:rPr>
              <w:t>Confidentiality</w:t>
            </w:r>
            <w:r w:rsidR="00C13553">
              <w:rPr>
                <w:noProof/>
                <w:webHidden/>
              </w:rPr>
              <w:tab/>
            </w:r>
            <w:r w:rsidR="00C13553">
              <w:rPr>
                <w:noProof/>
                <w:webHidden/>
              </w:rPr>
              <w:fldChar w:fldCharType="begin"/>
            </w:r>
            <w:r w:rsidR="00C13553">
              <w:rPr>
                <w:noProof/>
                <w:webHidden/>
              </w:rPr>
              <w:instrText xml:space="preserve"> PAGEREF _Toc126140435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20D0AD80" w14:textId="18B0EDA4" w:rsidR="00C13553" w:rsidRDefault="00673645">
          <w:pPr>
            <w:pStyle w:val="TOC1"/>
            <w:rPr>
              <w:rFonts w:asciiTheme="minorHAnsi" w:eastAsiaTheme="minorEastAsia" w:hAnsiTheme="minorHAnsi" w:cstheme="minorBidi"/>
              <w:noProof/>
              <w:szCs w:val="22"/>
              <w:lang w:val="en-GB" w:eastAsia="en-GB"/>
            </w:rPr>
          </w:pPr>
          <w:hyperlink w:anchor="_Toc126140436" w:history="1">
            <w:r w:rsidR="00C13553" w:rsidRPr="00492B8C">
              <w:rPr>
                <w:rStyle w:val="Hyperlink"/>
                <w:noProof/>
              </w:rPr>
              <w:t xml:space="preserve">Information Sharing </w:t>
            </w:r>
            <w:r w:rsidR="00C13553">
              <w:rPr>
                <w:rStyle w:val="Hyperlink"/>
                <w:noProof/>
              </w:rPr>
              <w:t>a</w:t>
            </w:r>
            <w:r w:rsidR="00C13553" w:rsidRPr="00492B8C">
              <w:rPr>
                <w:rStyle w:val="Hyperlink"/>
                <w:noProof/>
              </w:rPr>
              <w:t>nd Retention</w:t>
            </w:r>
            <w:r w:rsidR="00C13553">
              <w:rPr>
                <w:noProof/>
                <w:webHidden/>
              </w:rPr>
              <w:tab/>
            </w:r>
            <w:r w:rsidR="00C13553">
              <w:rPr>
                <w:noProof/>
                <w:webHidden/>
              </w:rPr>
              <w:fldChar w:fldCharType="begin"/>
            </w:r>
            <w:r w:rsidR="00C13553">
              <w:rPr>
                <w:noProof/>
                <w:webHidden/>
              </w:rPr>
              <w:instrText xml:space="preserve"> PAGEREF _Toc126140436 \h </w:instrText>
            </w:r>
            <w:r w:rsidR="00C13553">
              <w:rPr>
                <w:noProof/>
                <w:webHidden/>
              </w:rPr>
            </w:r>
            <w:r w:rsidR="00C13553">
              <w:rPr>
                <w:noProof/>
                <w:webHidden/>
              </w:rPr>
              <w:fldChar w:fldCharType="separate"/>
            </w:r>
            <w:r w:rsidR="00C13553">
              <w:rPr>
                <w:noProof/>
                <w:webHidden/>
              </w:rPr>
              <w:t>11</w:t>
            </w:r>
            <w:r w:rsidR="00C13553">
              <w:rPr>
                <w:noProof/>
                <w:webHidden/>
              </w:rPr>
              <w:fldChar w:fldCharType="end"/>
            </w:r>
          </w:hyperlink>
        </w:p>
        <w:p w14:paraId="009CCADD" w14:textId="60841FE2" w:rsidR="00C13553" w:rsidRDefault="00673645">
          <w:pPr>
            <w:pStyle w:val="TOC1"/>
            <w:rPr>
              <w:rFonts w:asciiTheme="minorHAnsi" w:eastAsiaTheme="minorEastAsia" w:hAnsiTheme="minorHAnsi" w:cstheme="minorBidi"/>
              <w:noProof/>
              <w:szCs w:val="22"/>
              <w:lang w:val="en-GB" w:eastAsia="en-GB"/>
            </w:rPr>
          </w:pPr>
          <w:hyperlink w:anchor="_Toc126140437" w:history="1">
            <w:r w:rsidR="00C13553" w:rsidRPr="00492B8C">
              <w:rPr>
                <w:rStyle w:val="Hyperlink"/>
                <w:noProof/>
              </w:rPr>
              <w:t>Whistleblowing</w:t>
            </w:r>
            <w:r w:rsidR="00C13553">
              <w:rPr>
                <w:noProof/>
                <w:webHidden/>
              </w:rPr>
              <w:tab/>
            </w:r>
            <w:r w:rsidR="00C13553">
              <w:rPr>
                <w:noProof/>
                <w:webHidden/>
              </w:rPr>
              <w:fldChar w:fldCharType="begin"/>
            </w:r>
            <w:r w:rsidR="00C13553">
              <w:rPr>
                <w:noProof/>
                <w:webHidden/>
              </w:rPr>
              <w:instrText xml:space="preserve"> PAGEREF _Toc126140437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1A1F3F14" w14:textId="5992F661" w:rsidR="00C13553" w:rsidRDefault="00673645">
          <w:pPr>
            <w:pStyle w:val="TOC1"/>
            <w:rPr>
              <w:rFonts w:asciiTheme="minorHAnsi" w:eastAsiaTheme="minorEastAsia" w:hAnsiTheme="minorHAnsi" w:cstheme="minorBidi"/>
              <w:noProof/>
              <w:szCs w:val="22"/>
              <w:lang w:val="en-GB" w:eastAsia="en-GB"/>
            </w:rPr>
          </w:pPr>
          <w:hyperlink w:anchor="_Toc126140438" w:history="1">
            <w:r w:rsidR="00C13553" w:rsidRPr="00492B8C">
              <w:rPr>
                <w:rStyle w:val="Hyperlink"/>
                <w:noProof/>
              </w:rPr>
              <w:t xml:space="preserve">Related Policies </w:t>
            </w:r>
            <w:r w:rsidR="00C13553">
              <w:rPr>
                <w:rStyle w:val="Hyperlink"/>
                <w:noProof/>
              </w:rPr>
              <w:t>a</w:t>
            </w:r>
            <w:r w:rsidR="00C13553" w:rsidRPr="00492B8C">
              <w:rPr>
                <w:rStyle w:val="Hyperlink"/>
                <w:noProof/>
              </w:rPr>
              <w:t>nd Guidance</w:t>
            </w:r>
            <w:r w:rsidR="00C13553">
              <w:rPr>
                <w:noProof/>
                <w:webHidden/>
              </w:rPr>
              <w:tab/>
            </w:r>
            <w:r w:rsidR="00C13553">
              <w:rPr>
                <w:noProof/>
                <w:webHidden/>
              </w:rPr>
              <w:fldChar w:fldCharType="begin"/>
            </w:r>
            <w:r w:rsidR="00C13553">
              <w:rPr>
                <w:noProof/>
                <w:webHidden/>
              </w:rPr>
              <w:instrText xml:space="preserve"> PAGEREF _Toc126140438 \h </w:instrText>
            </w:r>
            <w:r w:rsidR="00C13553">
              <w:rPr>
                <w:noProof/>
                <w:webHidden/>
              </w:rPr>
            </w:r>
            <w:r w:rsidR="00C13553">
              <w:rPr>
                <w:noProof/>
                <w:webHidden/>
              </w:rPr>
              <w:fldChar w:fldCharType="separate"/>
            </w:r>
            <w:r w:rsidR="00C13553">
              <w:rPr>
                <w:noProof/>
                <w:webHidden/>
              </w:rPr>
              <w:t>12</w:t>
            </w:r>
            <w:r w:rsidR="00C13553">
              <w:rPr>
                <w:noProof/>
                <w:webHidden/>
              </w:rPr>
              <w:fldChar w:fldCharType="end"/>
            </w:r>
          </w:hyperlink>
        </w:p>
        <w:p w14:paraId="3BC39DFC" w14:textId="38AC03DA" w:rsidR="00C13553" w:rsidRDefault="00673645">
          <w:pPr>
            <w:pStyle w:val="TOC1"/>
            <w:rPr>
              <w:rFonts w:asciiTheme="minorHAnsi" w:eastAsiaTheme="minorEastAsia" w:hAnsiTheme="minorHAnsi" w:cstheme="minorBidi"/>
              <w:noProof/>
              <w:szCs w:val="22"/>
              <w:lang w:val="en-GB" w:eastAsia="en-GB"/>
            </w:rPr>
          </w:pPr>
          <w:hyperlink w:anchor="_Toc126140439" w:history="1">
            <w:r w:rsidR="00C13553" w:rsidRPr="00492B8C">
              <w:rPr>
                <w:rStyle w:val="Hyperlink"/>
                <w:noProof/>
              </w:rPr>
              <w:t xml:space="preserve">Appendix A: Reporting </w:t>
            </w:r>
            <w:r w:rsidR="008F59A9">
              <w:rPr>
                <w:rStyle w:val="Hyperlink"/>
                <w:noProof/>
              </w:rPr>
              <w:t>a</w:t>
            </w:r>
            <w:r w:rsidR="00C13553" w:rsidRPr="00492B8C">
              <w:rPr>
                <w:rStyle w:val="Hyperlink"/>
                <w:noProof/>
              </w:rPr>
              <w:t xml:space="preserve"> Safeguarding Concern That Occurs Within Tennis</w:t>
            </w:r>
            <w:r w:rsidR="00C13553">
              <w:rPr>
                <w:noProof/>
                <w:webHidden/>
              </w:rPr>
              <w:tab/>
            </w:r>
            <w:r w:rsidR="00C13553">
              <w:rPr>
                <w:noProof/>
                <w:webHidden/>
              </w:rPr>
              <w:fldChar w:fldCharType="begin"/>
            </w:r>
            <w:r w:rsidR="00C13553">
              <w:rPr>
                <w:noProof/>
                <w:webHidden/>
              </w:rPr>
              <w:instrText xml:space="preserve"> PAGEREF _Toc126140439 \h </w:instrText>
            </w:r>
            <w:r w:rsidR="00C13553">
              <w:rPr>
                <w:noProof/>
                <w:webHidden/>
              </w:rPr>
            </w:r>
            <w:r w:rsidR="00C13553">
              <w:rPr>
                <w:noProof/>
                <w:webHidden/>
              </w:rPr>
              <w:fldChar w:fldCharType="separate"/>
            </w:r>
            <w:r w:rsidR="00C13553">
              <w:rPr>
                <w:noProof/>
                <w:webHidden/>
              </w:rPr>
              <w:t>14</w:t>
            </w:r>
            <w:r w:rsidR="00C13553">
              <w:rPr>
                <w:noProof/>
                <w:webHidden/>
              </w:rPr>
              <w:fldChar w:fldCharType="end"/>
            </w:r>
          </w:hyperlink>
        </w:p>
        <w:p w14:paraId="5A90A8F8" w14:textId="7748226E" w:rsidR="00C13553" w:rsidRDefault="00673645">
          <w:pPr>
            <w:pStyle w:val="TOC1"/>
            <w:rPr>
              <w:rFonts w:asciiTheme="minorHAnsi" w:eastAsiaTheme="minorEastAsia" w:hAnsiTheme="minorHAnsi" w:cstheme="minorBidi"/>
              <w:noProof/>
              <w:szCs w:val="22"/>
              <w:lang w:val="en-GB" w:eastAsia="en-GB"/>
            </w:rPr>
          </w:pPr>
          <w:hyperlink w:anchor="_Toc126140440" w:history="1">
            <w:r w:rsidR="00C13553" w:rsidRPr="00492B8C">
              <w:rPr>
                <w:rStyle w:val="Hyperlink"/>
                <w:noProof/>
              </w:rPr>
              <w:t xml:space="preserve">Appendix B: Reporting </w:t>
            </w:r>
            <w:r w:rsidR="008F59A9">
              <w:rPr>
                <w:rStyle w:val="Hyperlink"/>
                <w:noProof/>
              </w:rPr>
              <w:t>a</w:t>
            </w:r>
            <w:r w:rsidR="00C13553" w:rsidRPr="00492B8C">
              <w:rPr>
                <w:rStyle w:val="Hyperlink"/>
                <w:noProof/>
              </w:rPr>
              <w:t xml:space="preserve"> Safeguarding Concern That Happens Outside </w:t>
            </w:r>
            <w:r w:rsidR="008F59A9">
              <w:rPr>
                <w:rStyle w:val="Hyperlink"/>
                <w:noProof/>
              </w:rPr>
              <w:t>o</w:t>
            </w:r>
            <w:r w:rsidR="00C13553" w:rsidRPr="00492B8C">
              <w:rPr>
                <w:rStyle w:val="Hyperlink"/>
                <w:noProof/>
              </w:rPr>
              <w:t>f Tennis</w:t>
            </w:r>
            <w:r w:rsidR="00C13553">
              <w:rPr>
                <w:noProof/>
                <w:webHidden/>
              </w:rPr>
              <w:tab/>
            </w:r>
            <w:r w:rsidR="00C13553">
              <w:rPr>
                <w:noProof/>
                <w:webHidden/>
              </w:rPr>
              <w:fldChar w:fldCharType="begin"/>
            </w:r>
            <w:r w:rsidR="00C13553">
              <w:rPr>
                <w:noProof/>
                <w:webHidden/>
              </w:rPr>
              <w:instrText xml:space="preserve"> PAGEREF _Toc126140440 \h </w:instrText>
            </w:r>
            <w:r w:rsidR="00C13553">
              <w:rPr>
                <w:noProof/>
                <w:webHidden/>
              </w:rPr>
            </w:r>
            <w:r w:rsidR="00C13553">
              <w:rPr>
                <w:noProof/>
                <w:webHidden/>
              </w:rPr>
              <w:fldChar w:fldCharType="separate"/>
            </w:r>
            <w:r w:rsidR="00C13553">
              <w:rPr>
                <w:noProof/>
                <w:webHidden/>
              </w:rPr>
              <w:t>15</w:t>
            </w:r>
            <w:r w:rsidR="00C13553">
              <w:rPr>
                <w:noProof/>
                <w:webHidden/>
              </w:rPr>
              <w:fldChar w:fldCharType="end"/>
            </w:r>
          </w:hyperlink>
        </w:p>
        <w:p w14:paraId="7AAF2122" w14:textId="227954BF" w:rsidR="00C13553" w:rsidRDefault="00673645">
          <w:pPr>
            <w:pStyle w:val="TOC1"/>
            <w:rPr>
              <w:rFonts w:asciiTheme="minorHAnsi" w:eastAsiaTheme="minorEastAsia" w:hAnsiTheme="minorHAnsi" w:cstheme="minorBidi"/>
              <w:noProof/>
              <w:szCs w:val="22"/>
              <w:lang w:val="en-GB" w:eastAsia="en-GB"/>
            </w:rPr>
          </w:pPr>
          <w:hyperlink w:anchor="_Toc126140441" w:history="1">
            <w:r w:rsidR="00C13553" w:rsidRPr="00492B8C">
              <w:rPr>
                <w:rStyle w:val="Hyperlink"/>
                <w:noProof/>
              </w:rPr>
              <w:t>Appendix C: Definitions</w:t>
            </w:r>
            <w:r w:rsidR="00C13553">
              <w:rPr>
                <w:noProof/>
                <w:webHidden/>
              </w:rPr>
              <w:tab/>
            </w:r>
            <w:r w:rsidR="00C13553">
              <w:rPr>
                <w:noProof/>
                <w:webHidden/>
              </w:rPr>
              <w:fldChar w:fldCharType="begin"/>
            </w:r>
            <w:r w:rsidR="00C13553">
              <w:rPr>
                <w:noProof/>
                <w:webHidden/>
              </w:rPr>
              <w:instrText xml:space="preserve"> PAGEREF _Toc126140441 \h </w:instrText>
            </w:r>
            <w:r w:rsidR="00C13553">
              <w:rPr>
                <w:noProof/>
                <w:webHidden/>
              </w:rPr>
            </w:r>
            <w:r w:rsidR="00C13553">
              <w:rPr>
                <w:noProof/>
                <w:webHidden/>
              </w:rPr>
              <w:fldChar w:fldCharType="separate"/>
            </w:r>
            <w:r w:rsidR="00C13553">
              <w:rPr>
                <w:noProof/>
                <w:webHidden/>
              </w:rPr>
              <w:t>16</w:t>
            </w:r>
            <w:r w:rsidR="00C13553">
              <w:rPr>
                <w:noProof/>
                <w:webHidden/>
              </w:rPr>
              <w:fldChar w:fldCharType="end"/>
            </w:r>
          </w:hyperlink>
        </w:p>
        <w:p w14:paraId="2B971CE6" w14:textId="1858E430" w:rsidR="00C13553" w:rsidRDefault="00673645">
          <w:pPr>
            <w:pStyle w:val="TOC1"/>
            <w:rPr>
              <w:rFonts w:asciiTheme="minorHAnsi" w:eastAsiaTheme="minorEastAsia" w:hAnsiTheme="minorHAnsi" w:cstheme="minorBidi"/>
              <w:noProof/>
              <w:szCs w:val="22"/>
              <w:lang w:val="en-GB" w:eastAsia="en-GB"/>
            </w:rPr>
          </w:pPr>
          <w:hyperlink w:anchor="_Toc126140442" w:history="1">
            <w:r w:rsidR="00C13553" w:rsidRPr="00492B8C">
              <w:rPr>
                <w:rStyle w:val="Hyperlink"/>
                <w:noProof/>
              </w:rPr>
              <w:t xml:space="preserve">Appendix D: Legislation, Guidance </w:t>
            </w:r>
            <w:r w:rsidR="008F59A9">
              <w:rPr>
                <w:rStyle w:val="Hyperlink"/>
                <w:noProof/>
              </w:rPr>
              <w:t>a</w:t>
            </w:r>
            <w:r w:rsidR="00C13553" w:rsidRPr="00492B8C">
              <w:rPr>
                <w:rStyle w:val="Hyperlink"/>
                <w:noProof/>
              </w:rPr>
              <w:t>nd Regulations</w:t>
            </w:r>
            <w:r w:rsidR="00C13553">
              <w:rPr>
                <w:noProof/>
                <w:webHidden/>
              </w:rPr>
              <w:tab/>
            </w:r>
            <w:r w:rsidR="00C13553">
              <w:rPr>
                <w:noProof/>
                <w:webHidden/>
              </w:rPr>
              <w:fldChar w:fldCharType="begin"/>
            </w:r>
            <w:r w:rsidR="00C13553">
              <w:rPr>
                <w:noProof/>
                <w:webHidden/>
              </w:rPr>
              <w:instrText xml:space="preserve"> PAGEREF _Toc126140442 \h </w:instrText>
            </w:r>
            <w:r w:rsidR="00C13553">
              <w:rPr>
                <w:noProof/>
                <w:webHidden/>
              </w:rPr>
            </w:r>
            <w:r w:rsidR="00C13553">
              <w:rPr>
                <w:noProof/>
                <w:webHidden/>
              </w:rPr>
              <w:fldChar w:fldCharType="separate"/>
            </w:r>
            <w:r w:rsidR="00C13553">
              <w:rPr>
                <w:noProof/>
                <w:webHidden/>
              </w:rPr>
              <w:t>21</w:t>
            </w:r>
            <w:r w:rsidR="00C13553">
              <w:rPr>
                <w:noProof/>
                <w:webHidden/>
              </w:rPr>
              <w:fldChar w:fldCharType="end"/>
            </w:r>
          </w:hyperlink>
        </w:p>
        <w:p w14:paraId="5F3C6DA8" w14:textId="40D949BD" w:rsidR="00C13553" w:rsidRDefault="00673645">
          <w:pPr>
            <w:pStyle w:val="TOC1"/>
            <w:rPr>
              <w:rFonts w:asciiTheme="minorHAnsi" w:eastAsiaTheme="minorEastAsia" w:hAnsiTheme="minorHAnsi" w:cstheme="minorBidi"/>
              <w:noProof/>
              <w:szCs w:val="22"/>
              <w:lang w:val="en-GB" w:eastAsia="en-GB"/>
            </w:rPr>
          </w:pPr>
          <w:hyperlink w:anchor="_Toc126140443" w:history="1">
            <w:r w:rsidR="00C13553" w:rsidRPr="00492B8C">
              <w:rPr>
                <w:rStyle w:val="Hyperlink"/>
                <w:noProof/>
              </w:rPr>
              <w:t xml:space="preserve">Appendix E: Additional Information </w:t>
            </w:r>
            <w:r w:rsidR="008F59A9">
              <w:rPr>
                <w:rStyle w:val="Hyperlink"/>
                <w:noProof/>
              </w:rPr>
              <w:t>a</w:t>
            </w:r>
            <w:r w:rsidR="00C13553" w:rsidRPr="00492B8C">
              <w:rPr>
                <w:rStyle w:val="Hyperlink"/>
                <w:noProof/>
              </w:rPr>
              <w:t>nd Support</w:t>
            </w:r>
            <w:r w:rsidR="00C13553">
              <w:rPr>
                <w:noProof/>
                <w:webHidden/>
              </w:rPr>
              <w:tab/>
            </w:r>
            <w:r w:rsidR="00C13553">
              <w:rPr>
                <w:noProof/>
                <w:webHidden/>
              </w:rPr>
              <w:fldChar w:fldCharType="begin"/>
            </w:r>
            <w:r w:rsidR="00C13553">
              <w:rPr>
                <w:noProof/>
                <w:webHidden/>
              </w:rPr>
              <w:instrText xml:space="preserve"> PAGEREF _Toc126140443 \h </w:instrText>
            </w:r>
            <w:r w:rsidR="00C13553">
              <w:rPr>
                <w:noProof/>
                <w:webHidden/>
              </w:rPr>
            </w:r>
            <w:r w:rsidR="00C13553">
              <w:rPr>
                <w:noProof/>
                <w:webHidden/>
              </w:rPr>
              <w:fldChar w:fldCharType="separate"/>
            </w:r>
            <w:r w:rsidR="00C13553">
              <w:rPr>
                <w:noProof/>
                <w:webHidden/>
              </w:rPr>
              <w:t>22</w:t>
            </w:r>
            <w:r w:rsidR="00C13553">
              <w:rPr>
                <w:noProof/>
                <w:webHidden/>
              </w:rPr>
              <w:fldChar w:fldCharType="end"/>
            </w:r>
          </w:hyperlink>
        </w:p>
        <w:p w14:paraId="430AD372" w14:textId="0D2799D1" w:rsidR="00C13553" w:rsidRDefault="00C13553">
          <w:r>
            <w:rPr>
              <w:b/>
              <w:bCs/>
              <w:noProof/>
            </w:rPr>
            <w:fldChar w:fldCharType="end"/>
          </w:r>
        </w:p>
      </w:sdtContent>
    </w:sdt>
    <w:p w14:paraId="71B172CA" w14:textId="77777777" w:rsidR="00C13553" w:rsidRDefault="00C13553" w:rsidP="0098115B"/>
    <w:p w14:paraId="625A96CE" w14:textId="37512F62" w:rsidR="0098115B" w:rsidRPr="007C72DC" w:rsidRDefault="0098115B" w:rsidP="0098115B">
      <w:r w:rsidRPr="007C72DC">
        <w:t>Policy Owner: </w:t>
      </w:r>
      <w:r w:rsidR="007C72DC">
        <w:t>Nicole Hobson</w:t>
      </w:r>
    </w:p>
    <w:p w14:paraId="48583CF8" w14:textId="4EC41846" w:rsidR="0098115B" w:rsidRPr="007C72DC" w:rsidRDefault="0098115B" w:rsidP="0098115B">
      <w:r w:rsidRPr="007C72DC">
        <w:t>Policy approved by: </w:t>
      </w:r>
      <w:r w:rsidR="007C72DC">
        <w:t>Frances Paul</w:t>
      </w:r>
    </w:p>
    <w:p w14:paraId="7C27D1A7" w14:textId="6069D89E" w:rsidR="0098115B" w:rsidRPr="007C72DC" w:rsidRDefault="0098115B" w:rsidP="0098115B">
      <w:r w:rsidRPr="007C72DC">
        <w:t>Date Policy approved: </w:t>
      </w:r>
      <w:proofErr w:type="gramStart"/>
      <w:r w:rsidR="007C72DC">
        <w:t>08/01/2024</w:t>
      </w:r>
      <w:proofErr w:type="gramEnd"/>
    </w:p>
    <w:p w14:paraId="1EA2F286" w14:textId="69917BCE" w:rsidR="0098115B" w:rsidRDefault="0098115B" w:rsidP="0098115B">
      <w:pPr>
        <w:jc w:val="both"/>
        <w:rPr>
          <w:rFonts w:cs="Arial"/>
          <w:b/>
          <w:sz w:val="24"/>
          <w:lang w:val="en-GB"/>
        </w:rPr>
      </w:pPr>
      <w:r w:rsidRPr="007C72DC">
        <w:t>Next review Date:</w:t>
      </w:r>
      <w:r w:rsidR="007C72DC">
        <w:t xml:space="preserve"> 08/01/2027</w:t>
      </w:r>
      <w:r>
        <w:rPr>
          <w:rFonts w:cs="Arial"/>
          <w:b/>
          <w:sz w:val="24"/>
          <w:lang w:val="en-GB"/>
        </w:rPr>
        <w:br w:type="page"/>
      </w:r>
    </w:p>
    <w:p w14:paraId="6C3EC615" w14:textId="77777777" w:rsidR="0098115B" w:rsidRPr="003602ED" w:rsidRDefault="0098115B" w:rsidP="00C13553">
      <w:pPr>
        <w:pStyle w:val="Heading1"/>
      </w:pPr>
      <w:bookmarkStart w:id="0" w:name="_Toc126140382"/>
      <w:bookmarkStart w:id="1" w:name="_Toc126140417"/>
      <w:r w:rsidRPr="00A12E1A">
        <w:t>POLICY STATEMENT AND SCOPE</w:t>
      </w:r>
      <w:bookmarkEnd w:id="0"/>
      <w:bookmarkEnd w:id="1"/>
    </w:p>
    <w:p w14:paraId="3F4217CE" w14:textId="4A7BD480" w:rsidR="0098115B" w:rsidRDefault="00A12E1A" w:rsidP="0019129F">
      <w:pPr>
        <w:jc w:val="both"/>
        <w:rPr>
          <w:rFonts w:cs="Arial"/>
          <w:szCs w:val="22"/>
          <w:lang w:val="en-GB"/>
        </w:rPr>
      </w:pPr>
      <w:r>
        <w:rPr>
          <w:rFonts w:cs="Arial"/>
          <w:szCs w:val="22"/>
          <w:lang w:val="en-GB"/>
        </w:rPr>
        <w:t>Saxmundham Sports Tennis Club</w:t>
      </w:r>
      <w:r w:rsidR="0098115B" w:rsidRPr="00B26E55">
        <w:rPr>
          <w:rFonts w:cs="Arial"/>
          <w:szCs w:val="22"/>
          <w:lang w:val="en-GB"/>
        </w:rPr>
        <w:t xml:space="preserve"> </w:t>
      </w:r>
      <w:r w:rsidR="0098115B">
        <w:t xml:space="preserve">recognises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7"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631FB073" w:rsidR="0098115B" w:rsidRDefault="0098115B" w:rsidP="0019129F">
      <w:pPr>
        <w:jc w:val="both"/>
        <w:rPr>
          <w:rFonts w:cs="Poppins"/>
          <w:color w:val="000000" w:themeColor="text1"/>
        </w:rPr>
      </w:pPr>
      <w:r>
        <w:rPr>
          <w:rFonts w:cs="Poppins"/>
          <w:color w:val="000000" w:themeColor="text1"/>
        </w:rPr>
        <w:t xml:space="preserve">We </w:t>
      </w:r>
      <w:r w:rsidRPr="00152B83">
        <w:rPr>
          <w:rFonts w:cs="Poppins"/>
          <w:color w:val="000000" w:themeColor="text1"/>
        </w:rPr>
        <w:t>recognise that health, well-being, ability, disability and need for care and support can affect a person’s resilience.  We recognise that some people experience barriers, for example, to communication in raising concerns or seeking help.</w:t>
      </w:r>
      <w:r w:rsidR="00A12E1A">
        <w:rPr>
          <w:rFonts w:cs="Poppins"/>
          <w:color w:val="000000" w:themeColor="text1"/>
        </w:rPr>
        <w:t xml:space="preserve"> </w:t>
      </w:r>
      <w:r w:rsidRPr="00152B83">
        <w:rPr>
          <w:rFonts w:cs="Poppins"/>
          <w:color w:val="000000" w:themeColor="text1"/>
        </w:rPr>
        <w:t>We recognise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E6EEB3" w:rsidR="0098115B" w:rsidRPr="00152B83" w:rsidRDefault="0098115B" w:rsidP="0019129F">
      <w:pPr>
        <w:jc w:val="both"/>
        <w:rPr>
          <w:rFonts w:cs="Poppins"/>
          <w:color w:val="000000" w:themeColor="text1"/>
        </w:rPr>
      </w:pPr>
      <w:r>
        <w:rPr>
          <w:rFonts w:cs="Poppins"/>
          <w:color w:val="000000" w:themeColor="text1"/>
        </w:rPr>
        <w:t xml:space="preserve">We </w:t>
      </w:r>
      <w:r w:rsidRPr="00152B83">
        <w:rPr>
          <w:rFonts w:cs="Poppins"/>
          <w:color w:val="000000" w:themeColor="text1"/>
        </w:rPr>
        <w:t>recognise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w:t>
      </w:r>
      <w:r w:rsidR="00A12E1A">
        <w:rPr>
          <w:rFonts w:cs="Poppins"/>
          <w:color w:val="000000" w:themeColor="text1"/>
        </w:rPr>
        <w:t xml:space="preserve"> </w:t>
      </w:r>
      <w:r w:rsidRPr="00152B83">
        <w:rPr>
          <w:rFonts w:cs="Poppins"/>
          <w:color w:val="000000" w:themeColor="text1"/>
        </w:rPr>
        <w:t>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w:t>
      </w:r>
      <w:proofErr w:type="spellStart"/>
      <w:r w:rsidRPr="00152B83">
        <w:rPr>
          <w:rFonts w:cs="Poppins"/>
        </w:rPr>
        <w:t>organisations</w:t>
      </w:r>
      <w:proofErr w:type="spellEnd"/>
      <w:r w:rsidRPr="00152B83">
        <w:rPr>
          <w:rFonts w:cs="Poppins"/>
        </w:rPr>
        <w:t>,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7"/>
        <w:gridCol w:w="4792"/>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3CE01540" w14:textId="3C33E2AA" w:rsidR="0098115B" w:rsidRPr="002F1E3E" w:rsidRDefault="002F1E3E" w:rsidP="0019129F">
            <w:pPr>
              <w:spacing w:after="160"/>
              <w:jc w:val="center"/>
              <w:rPr>
                <w:rFonts w:cs="Arial"/>
                <w:szCs w:val="22"/>
                <w:lang w:val="en-GB"/>
              </w:rPr>
            </w:pPr>
            <w:r w:rsidRPr="002F1E3E">
              <w:rPr>
                <w:rFonts w:cs="Arial"/>
                <w:szCs w:val="22"/>
                <w:lang w:val="en-GB"/>
              </w:rPr>
              <w:t>Frances Paul</w:t>
            </w:r>
          </w:p>
          <w:p w14:paraId="7B9C13A9" w14:textId="303F5D1C" w:rsidR="0098115B" w:rsidRPr="002F1E3E" w:rsidRDefault="0098115B" w:rsidP="0019129F">
            <w:pPr>
              <w:spacing w:after="160"/>
              <w:jc w:val="center"/>
              <w:rPr>
                <w:rFonts w:cs="Arial"/>
                <w:szCs w:val="22"/>
                <w:lang w:val="en-GB"/>
              </w:rPr>
            </w:pPr>
            <w:r w:rsidRPr="002F1E3E">
              <w:rPr>
                <w:rFonts w:cs="Arial"/>
                <w:szCs w:val="22"/>
                <w:lang w:val="en-GB"/>
              </w:rPr>
              <w:t>Chairperson</w:t>
            </w:r>
          </w:p>
        </w:tc>
        <w:tc>
          <w:tcPr>
            <w:tcW w:w="4792" w:type="dxa"/>
          </w:tcPr>
          <w:p w14:paraId="2DAB2B50" w14:textId="38D86A54" w:rsidR="0098115B" w:rsidRPr="002F1E3E" w:rsidRDefault="002F1E3E" w:rsidP="0019129F">
            <w:pPr>
              <w:spacing w:after="160"/>
              <w:jc w:val="center"/>
              <w:rPr>
                <w:rFonts w:cs="Arial"/>
                <w:szCs w:val="22"/>
                <w:lang w:val="en-GB"/>
              </w:rPr>
            </w:pPr>
            <w:r>
              <w:rPr>
                <w:rFonts w:cs="Arial"/>
                <w:szCs w:val="22"/>
                <w:lang w:val="en-GB"/>
              </w:rPr>
              <w:t>Nicole Hobson</w:t>
            </w:r>
          </w:p>
          <w:p w14:paraId="1AA96BB7" w14:textId="77777777" w:rsidR="0098115B" w:rsidRPr="002F1E3E" w:rsidRDefault="0098115B" w:rsidP="0019129F">
            <w:pPr>
              <w:spacing w:after="160"/>
              <w:jc w:val="center"/>
              <w:rPr>
                <w:rFonts w:cs="Arial"/>
                <w:szCs w:val="22"/>
                <w:lang w:val="en-GB"/>
              </w:rPr>
            </w:pPr>
            <w:r w:rsidRPr="002F1E3E">
              <w:rPr>
                <w:rFonts w:cs="Arial"/>
                <w:szCs w:val="22"/>
                <w:lang w:val="en-GB"/>
              </w:rPr>
              <w:t>Welfare Officer</w:t>
            </w:r>
          </w:p>
        </w:tc>
      </w:tr>
    </w:tbl>
    <w:p w14:paraId="45DE691D" w14:textId="77777777" w:rsidR="0098115B" w:rsidRPr="0001041C" w:rsidRDefault="0098115B" w:rsidP="0019129F">
      <w:pPr>
        <w:pStyle w:val="Heading1"/>
        <w:jc w:val="both"/>
      </w:pPr>
      <w:bookmarkStart w:id="2" w:name="_Toc126140383"/>
      <w:bookmarkStart w:id="3" w:name="_Toc126140418"/>
      <w:r w:rsidRPr="002F1E3E">
        <w:t>POLICY PRINCIPLES</w:t>
      </w:r>
      <w:bookmarkEnd w:id="2"/>
      <w:bookmarkEnd w:id="3"/>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4" w:name="_Toc126140384"/>
      <w:bookmarkStart w:id="5" w:name="_Toc126140419"/>
      <w:r w:rsidRPr="00D36BA0">
        <w:t>RESPONSIBILITY FOR SAFEGUARDING</w:t>
      </w:r>
      <w:bookmarkEnd w:id="4"/>
      <w:bookmarkEnd w:id="5"/>
      <w:r w:rsidRPr="00C13553">
        <w:t xml:space="preserve"> </w:t>
      </w:r>
    </w:p>
    <w:p w14:paraId="13AFBAC8" w14:textId="020B0654" w:rsidR="0098115B" w:rsidRPr="000E1D5D" w:rsidRDefault="0098115B" w:rsidP="0019129F">
      <w:pPr>
        <w:tabs>
          <w:tab w:val="left" w:pos="840"/>
        </w:tabs>
        <w:jc w:val="both"/>
        <w:rPr>
          <w:rFonts w:cs="Arial"/>
          <w:bCs/>
          <w:szCs w:val="22"/>
        </w:rPr>
      </w:pPr>
      <w:r w:rsidRPr="000E1D5D">
        <w:rPr>
          <w:rFonts w:cs="Arial"/>
          <w:bCs/>
          <w:szCs w:val="22"/>
        </w:rPr>
        <w:t xml:space="preserve">The </w:t>
      </w:r>
      <w:r w:rsidRPr="002F1E3E">
        <w:rPr>
          <w:rFonts w:cs="Arial"/>
          <w:bCs/>
          <w:szCs w:val="22"/>
        </w:rPr>
        <w:t>Committee</w:t>
      </w:r>
      <w:r w:rsidRPr="000E1D5D">
        <w:rPr>
          <w:rFonts w:cs="Arial"/>
          <w:bCs/>
          <w:szCs w:val="22"/>
        </w:rPr>
        <w:t xml:space="preserve"> have overall accountability for this policy and its implementation.</w:t>
      </w:r>
    </w:p>
    <w:p w14:paraId="579D4C5E" w14:textId="77777777" w:rsidR="0098115B" w:rsidRDefault="0098115B" w:rsidP="0019129F">
      <w:pPr>
        <w:tabs>
          <w:tab w:val="left" w:pos="840"/>
        </w:tabs>
        <w:jc w:val="both"/>
      </w:pPr>
    </w:p>
    <w:p w14:paraId="48879774" w14:textId="4E800247"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Pr="00D36BA0">
        <w:rPr>
          <w:rFonts w:cs="Arial"/>
          <w:bCs/>
          <w:szCs w:val="22"/>
        </w:rPr>
        <w:t>Committee</w:t>
      </w:r>
      <w:r>
        <w:t>.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5C538E90" w14:textId="01C6A4EF" w:rsidR="0098115B" w:rsidRPr="00D36BA0" w:rsidRDefault="0098115B" w:rsidP="0019129F">
      <w:pPr>
        <w:tabs>
          <w:tab w:val="left" w:pos="840"/>
        </w:tabs>
        <w:jc w:val="both"/>
      </w:pPr>
      <w:r w:rsidRPr="00D36BA0">
        <w:t>N</w:t>
      </w:r>
      <w:r w:rsidR="002B4BEB">
        <w:t>icole Hobson</w:t>
      </w:r>
    </w:p>
    <w:p w14:paraId="0C911AB5" w14:textId="6F02D96D" w:rsidR="0098115B" w:rsidRPr="00D36BA0" w:rsidRDefault="0098115B" w:rsidP="0019129F">
      <w:pPr>
        <w:tabs>
          <w:tab w:val="left" w:pos="840"/>
        </w:tabs>
        <w:jc w:val="both"/>
      </w:pPr>
      <w:r w:rsidRPr="00D36BA0">
        <w:t>Contact number</w:t>
      </w:r>
      <w:r w:rsidR="002B4BEB">
        <w:t xml:space="preserve"> 0790 </w:t>
      </w:r>
      <w:proofErr w:type="gramStart"/>
      <w:r w:rsidR="002B4BEB">
        <w:t>4324006</w:t>
      </w:r>
      <w:proofErr w:type="gramEnd"/>
    </w:p>
    <w:p w14:paraId="35BA56EA" w14:textId="39FC767B" w:rsidR="0098115B" w:rsidRDefault="0098115B" w:rsidP="0019129F">
      <w:pPr>
        <w:tabs>
          <w:tab w:val="left" w:pos="840"/>
        </w:tabs>
        <w:jc w:val="both"/>
      </w:pPr>
      <w:r w:rsidRPr="00D36BA0">
        <w:t>Email address</w:t>
      </w:r>
      <w:r w:rsidR="002B4BEB">
        <w:t xml:space="preserve"> nicole.hobson@icloud.com</w:t>
      </w:r>
    </w:p>
    <w:p w14:paraId="48A51B96" w14:textId="77777777" w:rsidR="0098115B" w:rsidRDefault="0098115B" w:rsidP="0019129F">
      <w:pPr>
        <w:tabs>
          <w:tab w:val="left" w:pos="840"/>
        </w:tabs>
        <w:jc w:val="both"/>
      </w:pPr>
    </w:p>
    <w:p w14:paraId="01201566" w14:textId="18C5D82F"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p>
    <w:p w14:paraId="46E19D9B" w14:textId="0DC681C0" w:rsidR="0098115B" w:rsidRPr="0001041C" w:rsidRDefault="000D693A" w:rsidP="0019129F">
      <w:pPr>
        <w:tabs>
          <w:tab w:val="left" w:pos="840"/>
        </w:tabs>
        <w:jc w:val="both"/>
        <w:rPr>
          <w:highlight w:val="yellow"/>
        </w:rPr>
      </w:pPr>
      <w:r>
        <w:rPr>
          <w:highlight w:val="yellow"/>
        </w:rPr>
        <w:t>Matt Last</w:t>
      </w:r>
      <w:r w:rsidR="00697ED6">
        <w:rPr>
          <w:highlight w:val="yellow"/>
        </w:rPr>
        <w:t xml:space="preserve"> (club senior coach)</w:t>
      </w:r>
    </w:p>
    <w:p w14:paraId="58681BF3" w14:textId="328B1AC5" w:rsidR="0098115B" w:rsidRPr="0001041C" w:rsidRDefault="0098115B" w:rsidP="0019129F">
      <w:pPr>
        <w:tabs>
          <w:tab w:val="left" w:pos="840"/>
        </w:tabs>
        <w:jc w:val="both"/>
        <w:rPr>
          <w:highlight w:val="yellow"/>
        </w:rPr>
      </w:pPr>
      <w:r w:rsidRPr="0001041C">
        <w:rPr>
          <w:highlight w:val="yellow"/>
        </w:rPr>
        <w:t>Contact number</w:t>
      </w:r>
      <w:r w:rsidR="00264E91">
        <w:rPr>
          <w:highlight w:val="yellow"/>
        </w:rPr>
        <w:t xml:space="preserve"> 07561 </w:t>
      </w:r>
      <w:proofErr w:type="gramStart"/>
      <w:r w:rsidR="00264E91">
        <w:rPr>
          <w:highlight w:val="yellow"/>
        </w:rPr>
        <w:t>454563</w:t>
      </w:r>
      <w:proofErr w:type="gramEnd"/>
    </w:p>
    <w:p w14:paraId="2D051A03" w14:textId="49105CFE" w:rsidR="0098115B" w:rsidRDefault="0098115B" w:rsidP="0019129F">
      <w:pPr>
        <w:tabs>
          <w:tab w:val="left" w:pos="840"/>
        </w:tabs>
        <w:jc w:val="both"/>
      </w:pPr>
      <w:r w:rsidRPr="0001041C">
        <w:rPr>
          <w:highlight w:val="yellow"/>
        </w:rPr>
        <w:t>Email address</w:t>
      </w:r>
      <w:r w:rsidR="0047390B">
        <w:t xml:space="preserve"> mattlast69@googlemail.com</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8"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0100A211"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highlight w:val="yellow"/>
        </w:rPr>
      </w:pPr>
      <w:r w:rsidRPr="00A73CC2">
        <w:rPr>
          <w:rStyle w:val="eop"/>
          <w:rFonts w:ascii="Arial" w:hAnsi="Arial" w:cs="Arial"/>
          <w:color w:val="000000" w:themeColor="text1"/>
          <w:sz w:val="22"/>
          <w:szCs w:val="22"/>
        </w:rPr>
        <w:t>Children Services</w:t>
      </w:r>
      <w:r w:rsidR="004765A7">
        <w:rPr>
          <w:rStyle w:val="eop"/>
          <w:rFonts w:ascii="Arial" w:hAnsi="Arial" w:cs="Arial"/>
          <w:color w:val="000000" w:themeColor="text1"/>
          <w:sz w:val="22"/>
          <w:szCs w:val="22"/>
        </w:rPr>
        <w:t xml:space="preserve"> </w:t>
      </w:r>
      <w:bookmarkStart w:id="6" w:name="_Hlk155640245"/>
      <w:r w:rsidR="008B0741">
        <w:rPr>
          <w:rStyle w:val="eop"/>
          <w:rFonts w:ascii="Arial" w:hAnsi="Arial" w:cs="Arial"/>
          <w:color w:val="000000" w:themeColor="text1"/>
          <w:sz w:val="22"/>
          <w:szCs w:val="22"/>
        </w:rPr>
        <w:t>–</w:t>
      </w:r>
      <w:r w:rsidR="004765A7">
        <w:rPr>
          <w:rStyle w:val="eop"/>
          <w:rFonts w:ascii="Arial" w:hAnsi="Arial" w:cs="Arial"/>
          <w:color w:val="000000" w:themeColor="text1"/>
          <w:sz w:val="22"/>
          <w:szCs w:val="22"/>
        </w:rPr>
        <w:t xml:space="preserve"> </w:t>
      </w:r>
      <w:r w:rsidR="008B0741">
        <w:rPr>
          <w:rStyle w:val="eop"/>
          <w:rFonts w:ascii="Arial" w:hAnsi="Arial" w:cs="Arial"/>
          <w:color w:val="000000" w:themeColor="text1"/>
          <w:sz w:val="22"/>
          <w:szCs w:val="22"/>
        </w:rPr>
        <w:t>call C</w:t>
      </w:r>
      <w:r w:rsidR="004765A7">
        <w:rPr>
          <w:rStyle w:val="eop"/>
          <w:rFonts w:ascii="Arial" w:hAnsi="Arial" w:cs="Arial"/>
          <w:color w:val="000000" w:themeColor="text1"/>
          <w:sz w:val="22"/>
          <w:szCs w:val="22"/>
        </w:rPr>
        <w:t xml:space="preserve">ustomer </w:t>
      </w:r>
      <w:r w:rsidR="008B0741">
        <w:rPr>
          <w:rStyle w:val="eop"/>
          <w:rFonts w:ascii="Arial" w:hAnsi="Arial" w:cs="Arial"/>
          <w:color w:val="000000" w:themeColor="text1"/>
          <w:sz w:val="22"/>
          <w:szCs w:val="22"/>
        </w:rPr>
        <w:t>F</w:t>
      </w:r>
      <w:r w:rsidR="004765A7">
        <w:rPr>
          <w:rStyle w:val="eop"/>
          <w:rFonts w:ascii="Arial" w:hAnsi="Arial" w:cs="Arial"/>
          <w:color w:val="000000" w:themeColor="text1"/>
          <w:sz w:val="22"/>
          <w:szCs w:val="22"/>
        </w:rPr>
        <w:t xml:space="preserve">irst </w:t>
      </w:r>
      <w:r w:rsidR="00720B7B">
        <w:rPr>
          <w:rStyle w:val="eop"/>
          <w:rFonts w:ascii="Arial" w:hAnsi="Arial" w:cs="Arial"/>
          <w:color w:val="000000" w:themeColor="text1"/>
          <w:sz w:val="22"/>
          <w:szCs w:val="22"/>
        </w:rPr>
        <w:t xml:space="preserve">on </w:t>
      </w:r>
      <w:r w:rsidR="00DA2202" w:rsidRPr="00DA2202">
        <w:rPr>
          <w:rStyle w:val="eop"/>
          <w:rFonts w:ascii="Arial" w:hAnsi="Arial" w:cs="Arial"/>
          <w:color w:val="000000" w:themeColor="text1"/>
          <w:sz w:val="22"/>
          <w:szCs w:val="22"/>
        </w:rPr>
        <w:t>0808 800 4005.</w:t>
      </w:r>
      <w:r w:rsidRPr="00A73CC2">
        <w:rPr>
          <w:rStyle w:val="eop"/>
          <w:rFonts w:ascii="Arial" w:hAnsi="Arial" w:cs="Arial"/>
          <w:color w:val="000000" w:themeColor="text1"/>
          <w:sz w:val="22"/>
          <w:szCs w:val="22"/>
        </w:rPr>
        <w:t xml:space="preserve"> </w:t>
      </w:r>
      <w:bookmarkEnd w:id="6"/>
    </w:p>
    <w:p w14:paraId="42E55463" w14:textId="701581B9"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A73CC2">
        <w:rPr>
          <w:rStyle w:val="eop"/>
          <w:rFonts w:ascii="Arial" w:hAnsi="Arial" w:cs="Arial"/>
          <w:color w:val="000000" w:themeColor="text1"/>
          <w:sz w:val="22"/>
          <w:szCs w:val="22"/>
        </w:rPr>
        <w:t>Adult Services</w:t>
      </w:r>
      <w:r w:rsidR="004765A7" w:rsidRPr="004765A7">
        <w:rPr>
          <w:rStyle w:val="eop"/>
          <w:rFonts w:ascii="Arial" w:hAnsi="Arial" w:cs="Arial"/>
          <w:color w:val="000000" w:themeColor="text1"/>
          <w:sz w:val="22"/>
          <w:szCs w:val="22"/>
        </w:rPr>
        <w:t>- c</w:t>
      </w:r>
      <w:r w:rsidR="008B0741">
        <w:rPr>
          <w:rStyle w:val="eop"/>
          <w:rFonts w:ascii="Arial" w:hAnsi="Arial" w:cs="Arial"/>
          <w:color w:val="000000" w:themeColor="text1"/>
          <w:sz w:val="22"/>
          <w:szCs w:val="22"/>
        </w:rPr>
        <w:t>all C</w:t>
      </w:r>
      <w:r w:rsidR="004765A7" w:rsidRPr="004765A7">
        <w:rPr>
          <w:rStyle w:val="eop"/>
          <w:rFonts w:ascii="Arial" w:hAnsi="Arial" w:cs="Arial"/>
          <w:color w:val="000000" w:themeColor="text1"/>
          <w:sz w:val="22"/>
          <w:szCs w:val="22"/>
        </w:rPr>
        <w:t xml:space="preserve">ustomer </w:t>
      </w:r>
      <w:r w:rsidR="008B0741">
        <w:rPr>
          <w:rStyle w:val="eop"/>
          <w:rFonts w:ascii="Arial" w:hAnsi="Arial" w:cs="Arial"/>
          <w:color w:val="000000" w:themeColor="text1"/>
          <w:sz w:val="22"/>
          <w:szCs w:val="22"/>
        </w:rPr>
        <w:t>F</w:t>
      </w:r>
      <w:r w:rsidR="004765A7" w:rsidRPr="004765A7">
        <w:rPr>
          <w:rStyle w:val="eop"/>
          <w:rFonts w:ascii="Arial" w:hAnsi="Arial" w:cs="Arial"/>
          <w:color w:val="000000" w:themeColor="text1"/>
          <w:sz w:val="22"/>
          <w:szCs w:val="22"/>
        </w:rPr>
        <w:t xml:space="preserve">irst </w:t>
      </w:r>
      <w:r w:rsidR="00720B7B">
        <w:rPr>
          <w:rStyle w:val="eop"/>
          <w:rFonts w:ascii="Arial" w:hAnsi="Arial" w:cs="Arial"/>
          <w:color w:val="000000" w:themeColor="text1"/>
          <w:sz w:val="22"/>
          <w:szCs w:val="22"/>
        </w:rPr>
        <w:t xml:space="preserve">on </w:t>
      </w:r>
      <w:r w:rsidR="004765A7" w:rsidRPr="004765A7">
        <w:rPr>
          <w:rStyle w:val="eop"/>
          <w:rFonts w:ascii="Arial" w:hAnsi="Arial" w:cs="Arial"/>
          <w:color w:val="000000" w:themeColor="text1"/>
          <w:sz w:val="22"/>
          <w:szCs w:val="22"/>
        </w:rPr>
        <w:t>0808 800 4005.</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7" w:name="_Toc126140385"/>
      <w:bookmarkStart w:id="8" w:name="_Toc126140420"/>
      <w:r w:rsidRPr="00720B7B">
        <w:t>POLICY AIMS</w:t>
      </w:r>
      <w:bookmarkEnd w:id="7"/>
      <w:bookmarkEnd w:id="8"/>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9" w:name="_Toc126140386"/>
      <w:bookmarkStart w:id="10" w:name="_Toc126140421"/>
      <w:r w:rsidRPr="00DA0113">
        <w:t>DEFINITION</w:t>
      </w:r>
      <w:r>
        <w:t>S</w:t>
      </w:r>
      <w:bookmarkEnd w:id="9"/>
      <w:bookmarkEnd w:id="10"/>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004E2991" w:rsidRPr="00DB3B20">
              <w:rPr>
                <w:rFonts w:cs="Poppins"/>
              </w:rPr>
              <w:t>and</w:t>
            </w:r>
            <w:r w:rsidRPr="00DB3B20">
              <w:rPr>
                <w:rFonts w:cs="Poppins"/>
              </w:rPr>
              <w:t>;</w:t>
            </w:r>
            <w:proofErr w:type="gramEnd"/>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proofErr w:type="gramStart"/>
            <w:r w:rsidR="004E2991" w:rsidRPr="00DB3B20">
              <w:rPr>
                <w:rFonts w:cs="Poppins"/>
              </w:rPr>
              <w:t>and</w:t>
            </w:r>
            <w:r w:rsidRPr="00DB3B20">
              <w:rPr>
                <w:rFonts w:cs="Poppins"/>
              </w:rPr>
              <w:t>;</w:t>
            </w:r>
            <w:proofErr w:type="gramEnd"/>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 xml:space="preserve">is unable to safeguard their own well-being, property, </w:t>
            </w:r>
            <w:proofErr w:type="gramStart"/>
            <w:r w:rsidRPr="00DB3B20">
              <w:rPr>
                <w:rFonts w:cs="Poppins"/>
              </w:rPr>
              <w:t>rights</w:t>
            </w:r>
            <w:proofErr w:type="gramEnd"/>
            <w:r w:rsidRPr="00DB3B20">
              <w:rPr>
                <w:rFonts w:cs="Poppins"/>
              </w:rPr>
              <w:t xml:space="preserve">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proofErr w:type="gramStart"/>
            <w:r w:rsidR="004E2991" w:rsidRPr="00DB3B20">
              <w:rPr>
                <w:rFonts w:cs="Poppins"/>
              </w:rPr>
              <w:t>and</w:t>
            </w:r>
            <w:r w:rsidRPr="00DB3B20">
              <w:rPr>
                <w:rFonts w:cs="Poppins"/>
              </w:rPr>
              <w:t>;</w:t>
            </w:r>
            <w:proofErr w:type="gramEnd"/>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004E2991" w:rsidRPr="00DB3B20">
              <w:rPr>
                <w:rFonts w:cs="Poppins"/>
              </w:rPr>
              <w:t>and</w:t>
            </w:r>
            <w:r w:rsidRPr="00DB3B20">
              <w:rPr>
                <w:rFonts w:cs="Poppins"/>
              </w:rPr>
              <w:t>;</w:t>
            </w:r>
            <w:proofErr w:type="gramEnd"/>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proofErr w:type="gramStart"/>
            <w:r w:rsidRPr="00DB3B20">
              <w:rPr>
                <w:rFonts w:cs="Poppins"/>
              </w:rPr>
              <w:t>as a result of</w:t>
            </w:r>
            <w:proofErr w:type="gramEnd"/>
            <w:r w:rsidRPr="00DB3B20">
              <w:rPr>
                <w:rFonts w:cs="Poppins"/>
              </w:rPr>
              <w:t xml:space="preserve">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20B7B" w:rsidRDefault="0098115B" w:rsidP="0019129F">
      <w:pPr>
        <w:pStyle w:val="Heading1"/>
        <w:jc w:val="both"/>
      </w:pPr>
      <w:bookmarkStart w:id="11" w:name="_Toc126140387"/>
      <w:bookmarkStart w:id="12" w:name="_Toc126140422"/>
      <w:r w:rsidRPr="00720B7B">
        <w:t>RECRUITMENT</w:t>
      </w:r>
      <w:bookmarkEnd w:id="11"/>
      <w:bookmarkEnd w:id="12"/>
      <w:r w:rsidRPr="00720B7B">
        <w:t xml:space="preserve"> </w:t>
      </w:r>
    </w:p>
    <w:p w14:paraId="56C58BF9" w14:textId="77777777" w:rsidR="0098115B" w:rsidRPr="00720B7B" w:rsidRDefault="0098115B" w:rsidP="0019129F">
      <w:pPr>
        <w:tabs>
          <w:tab w:val="left" w:pos="840"/>
        </w:tabs>
        <w:jc w:val="both"/>
        <w:rPr>
          <w:szCs w:val="22"/>
        </w:rPr>
      </w:pPr>
      <w:r w:rsidRPr="00720B7B">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720B7B" w:rsidRDefault="0098115B" w:rsidP="0019129F">
      <w:pPr>
        <w:pStyle w:val="Heading1"/>
        <w:jc w:val="both"/>
      </w:pPr>
      <w:bookmarkStart w:id="13" w:name="_Toc126140388"/>
      <w:bookmarkStart w:id="14" w:name="_Toc126140423"/>
      <w:r w:rsidRPr="00720B7B">
        <w:t>TRAINING</w:t>
      </w:r>
      <w:bookmarkEnd w:id="13"/>
      <w:bookmarkEnd w:id="14"/>
    </w:p>
    <w:p w14:paraId="1E3DA3A7" w14:textId="1D7E1570" w:rsidR="0098115B" w:rsidRPr="00720B7B" w:rsidRDefault="0098115B" w:rsidP="0019129F">
      <w:pPr>
        <w:tabs>
          <w:tab w:val="left" w:pos="840"/>
        </w:tabs>
        <w:jc w:val="both"/>
      </w:pPr>
      <w:r w:rsidRPr="00720B7B">
        <w:t xml:space="preserve">All LTA Accredited Coaches and Welfare Officers complete safeguarding training as part of their role and renew this as part of their </w:t>
      </w:r>
      <w:proofErr w:type="gramStart"/>
      <w:r w:rsidRPr="00720B7B">
        <w:t>Accreditation</w:t>
      </w:r>
      <w:proofErr w:type="gramEnd"/>
      <w:r w:rsidRPr="00720B7B">
        <w:t xml:space="preserve"> requirements or every three years.  The Committee also receive safeguarding training </w:t>
      </w:r>
      <w:r w:rsidR="0003678A" w:rsidRPr="00720B7B">
        <w:t xml:space="preserve">(every three years or when there are changes to the Committee) </w:t>
      </w:r>
      <w:r w:rsidRPr="00720B7B">
        <w:t xml:space="preserve">provided to them via the Welfare Officer to enable them to recognise the possible signs and indicators of abuse and what to do if they have a safeguarding concern or allegation. </w:t>
      </w:r>
    </w:p>
    <w:p w14:paraId="3DBBF87D" w14:textId="77777777" w:rsidR="0098115B" w:rsidRPr="00720B7B" w:rsidRDefault="0098115B" w:rsidP="0019129F">
      <w:pPr>
        <w:tabs>
          <w:tab w:val="left" w:pos="840"/>
        </w:tabs>
        <w:jc w:val="both"/>
      </w:pPr>
    </w:p>
    <w:p w14:paraId="6F389D70" w14:textId="77777777" w:rsidR="0098115B" w:rsidRPr="00720B7B" w:rsidRDefault="0098115B" w:rsidP="0019129F">
      <w:pPr>
        <w:tabs>
          <w:tab w:val="left" w:pos="840"/>
        </w:tabs>
        <w:jc w:val="both"/>
        <w:rPr>
          <w:rFonts w:cs="Arial"/>
          <w:szCs w:val="22"/>
          <w:lang w:val="en-GB"/>
        </w:rPr>
      </w:pPr>
      <w:r w:rsidRPr="00720B7B">
        <w:t xml:space="preserve">An induction, which includes our safeguarding policies and procedures, reporting and recording arrangements, and details for the Welfare Officer, is also provided to all new staff, volunteers, </w:t>
      </w:r>
      <w:proofErr w:type="gramStart"/>
      <w:r w:rsidRPr="00720B7B">
        <w:t>coaches</w:t>
      </w:r>
      <w:proofErr w:type="gramEnd"/>
      <w:r w:rsidRPr="00720B7B">
        <w:t xml:space="preserve"> and any self-employed individuals who we engage.</w:t>
      </w:r>
    </w:p>
    <w:p w14:paraId="69FCBD35" w14:textId="7CD58EC4" w:rsidR="0098115B" w:rsidRDefault="00652A81" w:rsidP="0019129F">
      <w:pPr>
        <w:pStyle w:val="Heading1"/>
        <w:jc w:val="both"/>
      </w:pPr>
      <w:r w:rsidRPr="00720B7B">
        <w:t>Code of Conduct</w:t>
      </w:r>
    </w:p>
    <w:p w14:paraId="1FF38D45" w14:textId="0725AFE8" w:rsidR="0098115B" w:rsidRDefault="0098115B" w:rsidP="0019129F">
      <w:pPr>
        <w:jc w:val="both"/>
      </w:pPr>
      <w:r>
        <w:t xml:space="preserve">All individuals within scope of this policy are expected to familiarise themselves with this policy and the LTA Code of Conduct (available here: </w:t>
      </w:r>
      <w:hyperlink r:id="rId9"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p>
    <w:p w14:paraId="5D7F62F0" w14:textId="77777777" w:rsidR="0098115B" w:rsidRDefault="0098115B" w:rsidP="0019129F">
      <w:pPr>
        <w:pStyle w:val="Heading1"/>
        <w:jc w:val="both"/>
      </w:pPr>
      <w:bookmarkStart w:id="15" w:name="_Toc126140390"/>
      <w:bookmarkStart w:id="16" w:name="_Toc126140425"/>
      <w:r w:rsidRPr="00040D0E">
        <w:t>TRANSPORTATION</w:t>
      </w:r>
      <w:bookmarkEnd w:id="15"/>
      <w:bookmarkEnd w:id="16"/>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w:t>
      </w:r>
      <w:proofErr w:type="spellStart"/>
      <w:r w:rsidRPr="0001041C">
        <w:t>organised</w:t>
      </w:r>
      <w:proofErr w:type="spellEnd"/>
      <w:r w:rsidRPr="0001041C">
        <w:t xml:space="preserve"> trip in which case the following measures will be in </w:t>
      </w:r>
      <w:proofErr w:type="gramStart"/>
      <w:r w:rsidRPr="0001041C">
        <w:t>place</w:t>
      </w:r>
      <w:proofErr w:type="gramEnd"/>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 xml:space="preserve">arents </w:t>
      </w:r>
      <w:proofErr w:type="gramStart"/>
      <w:r w:rsidRPr="0001041C">
        <w:t>return</w:t>
      </w:r>
      <w:proofErr w:type="gramEnd"/>
      <w:r w:rsidRPr="0001041C">
        <w:t xml:space="preserve">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7" w:name="_Toc126140391"/>
      <w:bookmarkStart w:id="18" w:name="_Toc126140426"/>
      <w:r w:rsidRPr="00C0313D">
        <w:rPr>
          <w:rStyle w:val="A10"/>
          <w:rFonts w:cs="Times New Roman"/>
          <w:b w:val="0"/>
          <w:bCs w:val="0"/>
          <w:color w:val="1A7BC0"/>
          <w:szCs w:val="32"/>
        </w:rPr>
        <w:t>SUPERVISING CHILDREN</w:t>
      </w:r>
      <w:bookmarkEnd w:id="17"/>
      <w:bookmarkEnd w:id="18"/>
    </w:p>
    <w:p w14:paraId="63DFE77A" w14:textId="56866434" w:rsidR="0098115B" w:rsidRPr="004E2991" w:rsidRDefault="0098115B" w:rsidP="0019129F">
      <w:pPr>
        <w:jc w:val="both"/>
      </w:pPr>
      <w:r w:rsidRPr="0001041C">
        <w:t xml:space="preserve">Children under the age </w:t>
      </w:r>
      <w:r w:rsidRPr="004E2991">
        <w:t xml:space="preserve">of </w:t>
      </w:r>
      <w:r w:rsidR="00870C09">
        <w:t>8</w:t>
      </w:r>
      <w:r w:rsidRPr="004E2991">
        <w:t xml:space="preserve"> 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16A52F88"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 </w:t>
      </w:r>
      <w:r w:rsidR="003112CD">
        <w:t>13</w:t>
      </w:r>
      <w:r w:rsidRPr="004E2991">
        <w:t>, children must be delivered directly into the care of the coach by the parent</w:t>
      </w:r>
      <w:r w:rsidR="002479DD">
        <w:t>/carer</w:t>
      </w:r>
      <w:r w:rsidRPr="004E2991">
        <w:t xml:space="preserve">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3189968A" w14:textId="77777777" w:rsidR="0098115B" w:rsidRDefault="0098115B" w:rsidP="0019129F">
      <w:pPr>
        <w:jc w:val="both"/>
      </w:pPr>
    </w:p>
    <w:p w14:paraId="50605376" w14:textId="77777777" w:rsidR="0098115B" w:rsidRPr="009712FB" w:rsidRDefault="0098115B" w:rsidP="0019129F">
      <w:pPr>
        <w:pStyle w:val="Heading1"/>
        <w:jc w:val="both"/>
      </w:pPr>
      <w:bookmarkStart w:id="19" w:name="_Toc126140392"/>
      <w:bookmarkStart w:id="20" w:name="_Toc126140427"/>
      <w:r w:rsidRPr="007E146B">
        <w:t>POSITIONS OF TRUST</w:t>
      </w:r>
      <w:bookmarkEnd w:id="19"/>
      <w:bookmarkEnd w:id="20"/>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w:t>
      </w:r>
      <w:proofErr w:type="gramStart"/>
      <w:r w:rsidRPr="004312CC">
        <w:rPr>
          <w:szCs w:val="22"/>
        </w:rPr>
        <w:t>supervising</w:t>
      </w:r>
      <w:proofErr w:type="gramEnd"/>
      <w:r w:rsidRPr="004312CC">
        <w:rPr>
          <w:szCs w:val="22"/>
        </w:rPr>
        <w:t xml:space="preserve">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t xml:space="preserve">In June 2022, the Sexual Offences Act 2003 was changed to </w:t>
      </w:r>
      <w:r w:rsidRPr="004312CC">
        <w:rPr>
          <w:rFonts w:cs="Arial"/>
          <w:shd w:val="clear" w:color="auto" w:fill="FEFEFE"/>
        </w:rPr>
        <w:t xml:space="preserve">extend the abuse of position of trust offences to include where an adult is coaching, teaching, training, </w:t>
      </w:r>
      <w:proofErr w:type="gramStart"/>
      <w:r w:rsidRPr="004312CC">
        <w:rPr>
          <w:rFonts w:cs="Arial"/>
          <w:shd w:val="clear" w:color="auto" w:fill="FEFEFE"/>
        </w:rPr>
        <w:t>supervising</w:t>
      </w:r>
      <w:proofErr w:type="gramEnd"/>
      <w:r w:rsidRPr="004312CC">
        <w:rPr>
          <w:rFonts w:cs="Arial"/>
          <w:shd w:val="clear" w:color="auto" w:fill="FEFEFE"/>
        </w:rPr>
        <w:t xml:space="preserve">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1" w:name="_Toc126140393"/>
      <w:bookmarkStart w:id="22" w:name="_Toc126140428"/>
      <w:r>
        <w:t>TYPES OF ABUSE</w:t>
      </w:r>
      <w:bookmarkEnd w:id="21"/>
      <w:bookmarkEnd w:id="22"/>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3" w:name="_gjdgxs" w:colFirst="0" w:colLast="0"/>
      <w:bookmarkEnd w:id="23"/>
    </w:p>
    <w:tbl>
      <w:tblPr>
        <w:tblStyle w:val="TableGrid"/>
        <w:tblW w:w="0" w:type="auto"/>
        <w:tblLook w:val="04A0" w:firstRow="1" w:lastRow="0" w:firstColumn="1" w:lastColumn="0" w:noHBand="0" w:noVBand="1"/>
      </w:tblPr>
      <w:tblGrid>
        <w:gridCol w:w="3369"/>
        <w:gridCol w:w="3326"/>
        <w:gridCol w:w="3159"/>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proofErr w:type="spellStart"/>
            <w:r w:rsidRPr="00F0299D">
              <w:rPr>
                <w:rFonts w:cs="Arial"/>
              </w:rPr>
              <w:t>Organisational</w:t>
            </w:r>
            <w:proofErr w:type="spellEnd"/>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4" w:name="_Toc126140394"/>
      <w:bookmarkStart w:id="25" w:name="_Toc126140429"/>
      <w:r w:rsidRPr="007E146B">
        <w:t>INCREASED VULNERABILITY TO ABUSE</w:t>
      </w:r>
      <w:bookmarkEnd w:id="24"/>
      <w:bookmarkEnd w:id="25"/>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 xml:space="preserve">Personal circumstances away from tennis such as domestic violence, poverty, substance abuse, homelessness and social exclusion may also have an impact on vulnerability.   In addition, </w:t>
      </w:r>
      <w:proofErr w:type="gramStart"/>
      <w:r w:rsidRPr="004C6D87">
        <w:t>children</w:t>
      </w:r>
      <w:proofErr w:type="gramEnd"/>
      <w:r w:rsidRPr="004C6D87">
        <w:t xml:space="preserve">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 xml:space="preserve">Have increased dependency on coaching and other support staff for funding, </w:t>
      </w:r>
      <w:proofErr w:type="gramStart"/>
      <w:r>
        <w:t>selection</w:t>
      </w:r>
      <w:proofErr w:type="gramEnd"/>
      <w:r>
        <w:t xml:space="preserve">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t xml:space="preserve">Be exposed to unhealthy cultures and competitive performance ideologies, where inappropriate practices may be accepted or even encouraged under the </w:t>
      </w:r>
      <w:proofErr w:type="gramStart"/>
      <w:r>
        <w:t>belief</w:t>
      </w:r>
      <w:proofErr w:type="gramEnd"/>
      <w:r>
        <w:t xml:space="preserve"> they deliver success</w:t>
      </w:r>
    </w:p>
    <w:p w14:paraId="762458E5" w14:textId="77777777" w:rsidR="0098115B" w:rsidRDefault="0098115B" w:rsidP="0019129F">
      <w:pPr>
        <w:pStyle w:val="ListParagraph"/>
        <w:numPr>
          <w:ilvl w:val="0"/>
          <w:numId w:val="29"/>
        </w:numPr>
        <w:jc w:val="both"/>
      </w:pPr>
      <w:r>
        <w:t xml:space="preserve">Be subjected to intense training and pressure to play/succeed even when injured and achieve unrealistic image, </w:t>
      </w:r>
      <w:proofErr w:type="gramStart"/>
      <w:r>
        <w:t>body</w:t>
      </w:r>
      <w:proofErr w:type="gramEnd"/>
      <w:r>
        <w:t xml:space="preserve"> and weight expectations</w:t>
      </w:r>
    </w:p>
    <w:p w14:paraId="6B733456" w14:textId="77777777" w:rsidR="0098115B" w:rsidRDefault="0098115B" w:rsidP="0019129F">
      <w:pPr>
        <w:pStyle w:val="Heading1"/>
        <w:jc w:val="both"/>
      </w:pPr>
      <w:bookmarkStart w:id="26" w:name="_Toc126140395"/>
      <w:bookmarkStart w:id="27" w:name="_Toc126140430"/>
      <w:r w:rsidRPr="007E146B">
        <w:t>LOW LEVEL CONCERNS</w:t>
      </w:r>
      <w:bookmarkEnd w:id="26"/>
      <w:bookmarkEnd w:id="27"/>
    </w:p>
    <w:p w14:paraId="3DABBDDB" w14:textId="77777777" w:rsidR="0098115B" w:rsidRDefault="0098115B" w:rsidP="0019129F">
      <w:pPr>
        <w:jc w:val="both"/>
      </w:pPr>
      <w:r w:rsidRPr="00E942C6">
        <w:t xml:space="preserve">A </w:t>
      </w:r>
      <w:proofErr w:type="gramStart"/>
      <w:r w:rsidRPr="00E942C6">
        <w:t>low level</w:t>
      </w:r>
      <w:proofErr w:type="gramEnd"/>
      <w:r w:rsidRPr="00E942C6">
        <w:t xml:space="preserve"> concern</w:t>
      </w:r>
      <w:r>
        <w:t xml:space="preserve"> (which can also be known as poor practice)</w:t>
      </w:r>
      <w:r w:rsidRPr="00E942C6">
        <w:t xml:space="preserve"> is </w:t>
      </w:r>
      <w:proofErr w:type="spellStart"/>
      <w:r w:rsidRPr="00E942C6">
        <w:t>behaviour</w:t>
      </w:r>
      <w:proofErr w:type="spellEnd"/>
      <w:r w:rsidRPr="00E942C6">
        <w:t xml:space="preserve">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 xml:space="preserve">A </w:t>
      </w:r>
      <w:proofErr w:type="gramStart"/>
      <w:r>
        <w:t>low level</w:t>
      </w:r>
      <w:proofErr w:type="gramEnd"/>
      <w:r>
        <w:t xml:space="preserve">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w:t>
      </w:r>
      <w:proofErr w:type="gramStart"/>
      <w:r>
        <w:t>low level</w:t>
      </w:r>
      <w:proofErr w:type="gramEnd"/>
      <w:r>
        <w:t xml:space="preserve"> concerns are referred to the LTA. Having one recipient of all such concerns should allow any potential patterns of concerning, problematic or inappropriate </w:t>
      </w:r>
      <w:proofErr w:type="spellStart"/>
      <w:r>
        <w:t>behaviour</w:t>
      </w:r>
      <w:proofErr w:type="spellEnd"/>
      <w:r>
        <w:t xml:space="preserve">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0"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w:t>
      </w:r>
      <w:proofErr w:type="gramStart"/>
      <w:r>
        <w:t>low level</w:t>
      </w:r>
      <w:proofErr w:type="gramEnd"/>
      <w:r>
        <w:t xml:space="preserve">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8" w:name="_Toc126140396"/>
      <w:bookmarkStart w:id="29" w:name="_Toc126140431"/>
      <w:r>
        <w:t>RESPONDING TO A SAFEGUARDING CONCERN OR ALLEGATION</w:t>
      </w:r>
      <w:bookmarkEnd w:id="28"/>
      <w:bookmarkEnd w:id="29"/>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1"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30" w:name="_Toc126140397"/>
      <w:bookmarkStart w:id="31" w:name="_Toc126140432"/>
      <w:r w:rsidRPr="007E146B">
        <w:t>RESPONDING TO A DISCLOSURE OF ABUSE</w:t>
      </w:r>
      <w:bookmarkEnd w:id="30"/>
      <w:bookmarkEnd w:id="31"/>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proofErr w:type="gramStart"/>
      <w:r w:rsidRPr="008C222E">
        <w:t>Make an arrangement</w:t>
      </w:r>
      <w:proofErr w:type="gramEnd"/>
      <w:r w:rsidRPr="008C222E">
        <w:t xml:space="preserve">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w:t>
      </w:r>
      <w:proofErr w:type="gramStart"/>
      <w:r w:rsidRPr="008C222E">
        <w:t>e.g.</w:t>
      </w:r>
      <w:proofErr w:type="gramEnd"/>
      <w:r w:rsidRPr="008C222E">
        <w:t xml:space="preserve">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 xml:space="preserve">immediate needs are met and that the priority is their safety and protection from further risk of </w:t>
      </w:r>
      <w:proofErr w:type="gramStart"/>
      <w:r w:rsidRPr="00454B29">
        <w:t>harm</w:t>
      </w:r>
      <w:proofErr w:type="gramEnd"/>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2"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3"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2" w:name="_Toc126140398"/>
      <w:bookmarkStart w:id="33" w:name="_Toc126140433"/>
      <w:r w:rsidRPr="002E61B6">
        <w:t>MAKING SAFEGUARDING PERSONAL</w:t>
      </w:r>
      <w:bookmarkEnd w:id="32"/>
      <w:bookmarkEnd w:id="33"/>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recognises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w:t>
      </w:r>
      <w:proofErr w:type="gramStart"/>
      <w:r>
        <w:rPr>
          <w:rFonts w:cs="Poppins"/>
          <w:color w:val="000000" w:themeColor="text1"/>
        </w:rPr>
        <w:t>make a decision</w:t>
      </w:r>
      <w:proofErr w:type="gramEnd"/>
      <w:r>
        <w:rPr>
          <w:rFonts w:cs="Poppins"/>
          <w:color w:val="000000" w:themeColor="text1"/>
        </w:rPr>
        <w:t xml:space="preserve">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 xml:space="preserve">in a conversation about how best to respond to their situation in a way that enhances their involvement, </w:t>
      </w:r>
      <w:proofErr w:type="gramStart"/>
      <w:r w:rsidRPr="00152B83">
        <w:rPr>
          <w:rFonts w:cs="Poppins"/>
          <w:color w:val="000000" w:themeColor="text1"/>
        </w:rPr>
        <w:t>choice</w:t>
      </w:r>
      <w:proofErr w:type="gramEnd"/>
      <w:r w:rsidRPr="00152B83">
        <w:rPr>
          <w:rFonts w:cs="Poppins"/>
          <w:color w:val="000000" w:themeColor="text1"/>
        </w:rPr>
        <w:t xml:space="preserv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w:t>
      </w:r>
      <w:proofErr w:type="gramStart"/>
      <w:r w:rsidRPr="00152B83">
        <w:rPr>
          <w:rFonts w:cs="Poppins"/>
          <w:color w:val="000000" w:themeColor="text1"/>
        </w:rPr>
        <w:t>taken into account</w:t>
      </w:r>
      <w:proofErr w:type="gramEnd"/>
      <w:r w:rsidRPr="00152B83">
        <w:rPr>
          <w:rFonts w:cs="Poppins"/>
          <w:color w:val="000000" w:themeColor="text1"/>
        </w:rPr>
        <w:t xml:space="preserve">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w:t>
      </w:r>
      <w:proofErr w:type="gramStart"/>
      <w:r w:rsidRPr="00152B83">
        <w:rPr>
          <w:rFonts w:cs="Poppins"/>
          <w:color w:val="000000" w:themeColor="text1"/>
        </w:rPr>
        <w:t>dignity</w:t>
      </w:r>
      <w:proofErr w:type="gramEnd"/>
      <w:r w:rsidRPr="00152B83">
        <w:rPr>
          <w:rFonts w:cs="Poppins"/>
          <w:color w:val="000000" w:themeColor="text1"/>
        </w:rPr>
        <w:t xml:space="preserve">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w:t>
      </w:r>
      <w:proofErr w:type="spellStart"/>
      <w:r w:rsidRPr="00152B83">
        <w:rPr>
          <w:rFonts w:cs="Poppins"/>
          <w:color w:val="000000" w:themeColor="text1"/>
        </w:rPr>
        <w:t>organisation</w:t>
      </w:r>
      <w:proofErr w:type="spellEnd"/>
      <w:r w:rsidRPr="00152B83">
        <w:rPr>
          <w:rFonts w:cs="Poppins"/>
          <w:color w:val="000000" w:themeColor="text1"/>
        </w:rPr>
        <w:t>).</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4" w:name="_Toc126140399"/>
      <w:bookmarkStart w:id="35" w:name="_Toc126140434"/>
      <w:r w:rsidRPr="00D31C27">
        <w:t>MENTAL CAPACITY</w:t>
      </w:r>
      <w:bookmarkEnd w:id="34"/>
      <w:bookmarkEnd w:id="35"/>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t>
      </w:r>
      <w:proofErr w:type="gramStart"/>
      <w:r w:rsidRPr="001910AE">
        <w:rPr>
          <w:rFonts w:cs="Poppins"/>
        </w:rPr>
        <w:t>whether or not</w:t>
      </w:r>
      <w:proofErr w:type="gramEnd"/>
      <w:r w:rsidRPr="001910AE">
        <w:rPr>
          <w:rFonts w:cs="Poppins"/>
        </w:rPr>
        <w:t xml:space="preserve">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 xml:space="preserve">will need to refer the situation to the Local Authority, and this should result in health or social care professionals making an assessment of mental capacity and/or getting the person </w:t>
      </w:r>
      <w:proofErr w:type="gramStart"/>
      <w:r w:rsidRPr="00152B83">
        <w:rPr>
          <w:rFonts w:cs="Poppins"/>
        </w:rPr>
        <w:t>the support</w:t>
      </w:r>
      <w:proofErr w:type="gramEnd"/>
      <w:r w:rsidRPr="00152B83">
        <w:rPr>
          <w:rFonts w:cs="Poppins"/>
        </w:rPr>
        <w:t xml:space="preserve">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w:t>
      </w:r>
      <w:proofErr w:type="gramStart"/>
      <w:r w:rsidRPr="00F0258D">
        <w:rPr>
          <w:rFonts w:cs="Poppins"/>
          <w:color w:val="000000" w:themeColor="text1"/>
        </w:rPr>
        <w:t>consent</w:t>
      </w:r>
      <w:proofErr w:type="gramEnd"/>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 xml:space="preserve">to gain their consent – </w:t>
      </w:r>
      <w:proofErr w:type="gramStart"/>
      <w:r w:rsidRPr="00F0258D">
        <w:rPr>
          <w:rFonts w:cs="Poppins"/>
          <w:color w:val="000000" w:themeColor="text1"/>
        </w:rPr>
        <w:t>i.e.</w:t>
      </w:r>
      <w:proofErr w:type="gramEnd"/>
      <w:r w:rsidRPr="00F0258D">
        <w:rPr>
          <w:rFonts w:cs="Poppins"/>
          <w:color w:val="000000" w:themeColor="text1"/>
        </w:rPr>
        <w:t xml:space="preserv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w:t>
      </w:r>
      <w:proofErr w:type="gramStart"/>
      <w:r w:rsidRPr="00F0258D">
        <w:rPr>
          <w:rFonts w:cs="Poppins"/>
          <w:color w:val="000000" w:themeColor="text1"/>
        </w:rPr>
        <w:t>them</w:t>
      </w:r>
      <w:proofErr w:type="gramEnd"/>
    </w:p>
    <w:p w14:paraId="1153FA15" w14:textId="77777777" w:rsidR="0098115B" w:rsidRDefault="0098115B" w:rsidP="0019129F">
      <w:pPr>
        <w:pStyle w:val="Heading1"/>
        <w:jc w:val="both"/>
      </w:pPr>
      <w:bookmarkStart w:id="36" w:name="_Toc126140400"/>
      <w:bookmarkStart w:id="37" w:name="_Toc126140435"/>
      <w:r w:rsidRPr="00D31C27">
        <w:t>CONFIDENTIALITY</w:t>
      </w:r>
      <w:bookmarkEnd w:id="36"/>
      <w:bookmarkEnd w:id="37"/>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w:t>
      </w:r>
      <w:proofErr w:type="gramStart"/>
      <w:r>
        <w:t>need to know</w:t>
      </w:r>
      <w:proofErr w:type="gramEnd"/>
      <w:r>
        <w:t xml:space="preserve">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 xml:space="preserve">There may be circumstances where an individual raising a safeguarding concern or allegation does not wish to be named.  It is not possible to assure anonymity, as in some circumstances individuals will need to be named (for example, where it is necessary </w:t>
      </w:r>
      <w:proofErr w:type="gramStart"/>
      <w:r>
        <w:t>in order to</w:t>
      </w:r>
      <w:proofErr w:type="gramEnd"/>
      <w:r>
        <w:t xml:space="preserve"> carry out a fair disciplinary process).</w:t>
      </w:r>
    </w:p>
    <w:p w14:paraId="45AD7E37" w14:textId="77777777" w:rsidR="0098115B" w:rsidRPr="0001041C" w:rsidRDefault="0098115B" w:rsidP="0019129F">
      <w:pPr>
        <w:pStyle w:val="Heading1"/>
        <w:jc w:val="both"/>
      </w:pPr>
      <w:bookmarkStart w:id="38" w:name="_Toc126140401"/>
      <w:bookmarkStart w:id="39" w:name="_Toc126140436"/>
      <w:r w:rsidRPr="00D31C27">
        <w:t>INFORMATION SHARING AND RETENTION</w:t>
      </w:r>
      <w:bookmarkEnd w:id="38"/>
      <w:bookmarkEnd w:id="39"/>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w:t>
      </w:r>
      <w:proofErr w:type="spellStart"/>
      <w:r>
        <w:t>organisations</w:t>
      </w:r>
      <w:proofErr w:type="spellEnd"/>
      <w:r>
        <w:t xml:space="preserve">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gramStart"/>
      <w:r w:rsidRPr="0001041C">
        <w:t>up-to-date</w:t>
      </w:r>
      <w:proofErr w:type="gramEnd"/>
      <w:r w:rsidRPr="0001041C">
        <w:t xml:space="preserv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4"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 xml:space="preserve">what has been </w:t>
      </w:r>
      <w:proofErr w:type="gramStart"/>
      <w:r w:rsidRPr="00297AC0">
        <w:t>shared;</w:t>
      </w:r>
      <w:proofErr w:type="gramEnd"/>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w:t>
      </w:r>
      <w:proofErr w:type="spellStart"/>
      <w:r w:rsidRPr="00297AC0">
        <w:t>minimise</w:t>
      </w:r>
      <w:proofErr w:type="spellEnd"/>
      <w:r w:rsidRPr="00297AC0">
        <w:t xml:space="preserv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w:t>
      </w:r>
      <w:proofErr w:type="gramStart"/>
      <w:r w:rsidRPr="0001041C">
        <w:t>e.g.</w:t>
      </w:r>
      <w:proofErr w:type="gramEnd"/>
      <w:r w:rsidRPr="0001041C">
        <w:t xml:space="preserve"> lifetime) retention of relevant document</w:t>
      </w:r>
      <w:r w:rsidRPr="00DC0BCE">
        <w:t>ation.</w:t>
      </w:r>
    </w:p>
    <w:p w14:paraId="4FD1004E" w14:textId="77777777" w:rsidR="0098115B" w:rsidRPr="00C65CB2" w:rsidRDefault="0098115B" w:rsidP="0019129F">
      <w:pPr>
        <w:pStyle w:val="Heading1"/>
        <w:jc w:val="both"/>
      </w:pPr>
      <w:bookmarkStart w:id="40" w:name="_Toc126140402"/>
      <w:bookmarkStart w:id="41" w:name="_Toc126140437"/>
      <w:r w:rsidRPr="002364AA">
        <w:t>WHISTLEBLOWING</w:t>
      </w:r>
      <w:bookmarkEnd w:id="40"/>
      <w:bookmarkEnd w:id="41"/>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5"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proofErr w:type="spellStart"/>
      <w:r w:rsidRPr="001778CF">
        <w:t>Safecall</w:t>
      </w:r>
      <w:proofErr w:type="spellEnd"/>
      <w:r w:rsidRPr="001778CF">
        <w:t xml:space="preserve">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2" w:name="_Hlk124845652"/>
      <w:r w:rsidRPr="000E5349">
        <w:t xml:space="preserve">If a Whistleblower feels that it is not appropriate to contact the LTA Safeguarding Team on the grounds of one of the above areas, they can contact </w:t>
      </w:r>
      <w:proofErr w:type="spellStart"/>
      <w:r w:rsidRPr="000E5349">
        <w:t>Safecall</w:t>
      </w:r>
      <w:proofErr w:type="spellEnd"/>
      <w:r w:rsidRPr="000E5349">
        <w:t xml:space="preserve"> via telephone on 0800 915 1571. Calls are not recorded. Alternatively, a report can be made online: </w:t>
      </w:r>
      <w:hyperlink r:id="rId16" w:tgtFrame="_blank" w:history="1">
        <w:r w:rsidRPr="000E5349">
          <w:rPr>
            <w:rStyle w:val="Hyperlink"/>
          </w:rPr>
          <w:t>www.safecall.co.uk/report</w:t>
        </w:r>
      </w:hyperlink>
      <w:bookmarkEnd w:id="42"/>
    </w:p>
    <w:p w14:paraId="23E526E7" w14:textId="42C80170" w:rsidR="0098115B" w:rsidRPr="0098115B" w:rsidRDefault="0098115B" w:rsidP="0019129F">
      <w:pPr>
        <w:pStyle w:val="Heading1"/>
        <w:jc w:val="both"/>
      </w:pPr>
      <w:bookmarkStart w:id="43" w:name="_Toc126140403"/>
      <w:bookmarkStart w:id="44" w:name="_Toc126140438"/>
      <w:bookmarkStart w:id="45" w:name="_Hlk129942903"/>
      <w:r w:rsidRPr="0098115B">
        <w:t xml:space="preserve">RELATED POLICIES AND </w:t>
      </w:r>
      <w:bookmarkEnd w:id="43"/>
      <w:bookmarkEnd w:id="44"/>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 xml:space="preserve">Safeguarding at events, </w:t>
      </w:r>
      <w:proofErr w:type="gramStart"/>
      <w:r w:rsidRPr="00D6042A">
        <w:rPr>
          <w:rFonts w:cs="Arial"/>
          <w:szCs w:val="22"/>
        </w:rPr>
        <w:t>activities</w:t>
      </w:r>
      <w:proofErr w:type="gramEnd"/>
      <w:r w:rsidRPr="00D6042A">
        <w:rPr>
          <w:rFonts w:cs="Arial"/>
          <w:szCs w:val="22"/>
        </w:rPr>
        <w:t xml:space="preserve">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5"/>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270208B7" w:rsidR="0098115B" w:rsidRPr="00C13553" w:rsidRDefault="0098115B" w:rsidP="0019129F">
      <w:pPr>
        <w:pStyle w:val="Heading1"/>
        <w:jc w:val="both"/>
        <w:rPr>
          <w:rStyle w:val="Heading1Char"/>
        </w:rPr>
      </w:pPr>
      <w:bookmarkStart w:id="46" w:name="_Toc126140404"/>
      <w:bookmarkStart w:id="47" w:name="_Toc126140439"/>
      <w:r w:rsidRPr="00E3306E">
        <w:rPr>
          <w:rFonts w:cs="Arial"/>
          <w:b/>
          <w:sz w:val="24"/>
        </w:rPr>
        <w:drawing>
          <wp:anchor distT="0" distB="0" distL="114300" distR="114300" simplePos="0" relativeHeight="251657728"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00E3306E">
        <w:rPr>
          <w:rFonts w:cs="Arial"/>
          <w:b/>
          <w:sz w:val="24"/>
        </w:rPr>
        <w:t>n</w:t>
      </w:r>
      <w:r w:rsidRPr="00E3306E">
        <w:t>AP</w:t>
      </w:r>
      <w:r w:rsidRPr="00E3306E">
        <w:rPr>
          <w:rStyle w:val="Heading1Char"/>
        </w:rPr>
        <w:t>PENDIX A: REPORTING A SAFEGUARDING CONCERN THAT OCCURS WITHIN TENNIS</w:t>
      </w:r>
      <w:bookmarkEnd w:id="46"/>
      <w:bookmarkEnd w:id="47"/>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8" w:name="_Toc126140405"/>
      <w:bookmarkStart w:id="49" w:name="_Toc126140440"/>
      <w:r w:rsidRPr="00F41F17">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F41F17">
        <w:t>A</w:t>
      </w:r>
      <w:r w:rsidRPr="00F41F17">
        <w:rPr>
          <w:rStyle w:val="Heading1Char"/>
        </w:rPr>
        <w:t>PPENDIX B: REPORTING A SAFEGUARDING CONCERN THAT HAPPENS OUTSIDE OF TENNIS</w:t>
      </w:r>
      <w:bookmarkEnd w:id="48"/>
      <w:bookmarkEnd w:id="49"/>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50" w:name="_Toc126140406"/>
      <w:bookmarkStart w:id="51" w:name="_Toc126140441"/>
      <w:r w:rsidRPr="00F41F17">
        <w:t xml:space="preserve">APPENDIX </w:t>
      </w:r>
      <w:r w:rsidR="004E2991" w:rsidRPr="00F41F17">
        <w:t>C</w:t>
      </w:r>
      <w:r w:rsidRPr="00F41F17">
        <w:t>: DEFINITIONS</w:t>
      </w:r>
      <w:bookmarkEnd w:id="50"/>
      <w:bookmarkEnd w:id="51"/>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2"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proofErr w:type="gramStart"/>
      <w:r w:rsidRPr="00DB3B20">
        <w:rPr>
          <w:rFonts w:cs="Poppins"/>
        </w:rPr>
        <w:t>AND;</w:t>
      </w:r>
      <w:proofErr w:type="gramEnd"/>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 xml:space="preserve">is experiencing, or at risk of, abuse or neglect, </w:t>
      </w:r>
      <w:proofErr w:type="gramStart"/>
      <w:r w:rsidRPr="00153E8E">
        <w:rPr>
          <w:rFonts w:cs="Poppins"/>
        </w:rPr>
        <w:t>AND;</w:t>
      </w:r>
      <w:proofErr w:type="gramEnd"/>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unable to safeguard their own well-being, property, </w:t>
      </w:r>
      <w:proofErr w:type="gramStart"/>
      <w:r w:rsidRPr="00DB3B20">
        <w:rPr>
          <w:rFonts w:cs="Poppins"/>
        </w:rPr>
        <w:t>rights</w:t>
      </w:r>
      <w:proofErr w:type="gramEnd"/>
      <w:r w:rsidRPr="00DB3B20">
        <w:rPr>
          <w:rFonts w:cs="Poppins"/>
        </w:rPr>
        <w:t xml:space="preserve">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proofErr w:type="gramStart"/>
      <w:r>
        <w:rPr>
          <w:rFonts w:cs="Poppins"/>
        </w:rPr>
        <w:t>AND;</w:t>
      </w:r>
      <w:proofErr w:type="gramEnd"/>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is experiencing or is at risk of abuse or neglect, </w:t>
      </w:r>
      <w:proofErr w:type="gramStart"/>
      <w:r w:rsidRPr="00DB3B20">
        <w:rPr>
          <w:rFonts w:cs="Poppins"/>
        </w:rPr>
        <w:t>AND;</w:t>
      </w:r>
      <w:proofErr w:type="gramEnd"/>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 xml:space="preserve">has needs for care and support (whether or not the authority is meeting any of those needs) </w:t>
      </w:r>
      <w:proofErr w:type="gramStart"/>
      <w:r w:rsidRPr="00DB3B20">
        <w:rPr>
          <w:rFonts w:cs="Poppins"/>
        </w:rPr>
        <w:t>AND;</w:t>
      </w:r>
      <w:proofErr w:type="gramEnd"/>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proofErr w:type="gramStart"/>
      <w:r w:rsidRPr="00153E8E">
        <w:rPr>
          <w:rFonts w:cs="Poppins"/>
        </w:rPr>
        <w:t>as a result of</w:t>
      </w:r>
      <w:proofErr w:type="gramEnd"/>
      <w:r w:rsidRPr="00153E8E">
        <w:rPr>
          <w:rFonts w:cs="Poppins"/>
        </w:rPr>
        <w:t xml:space="preserve"> those needs is unable to protect himself or herself against the abuse or neglect or the risk</w:t>
      </w:r>
    </w:p>
    <w:bookmarkEnd w:id="52"/>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19" w:history="1">
        <w:r w:rsidRPr="006C469C">
          <w:rPr>
            <w:rStyle w:val="Hyperlink"/>
            <w:bCs/>
          </w:rPr>
          <w:t>https://www.nspcc.org.uk/what-is-child-abuse/types-of-abuse/</w:t>
        </w:r>
      </w:hyperlink>
      <w:r>
        <w:rPr>
          <w:bCs/>
        </w:rPr>
        <w:t xml:space="preserve"> and </w:t>
      </w:r>
      <w:hyperlink r:id="rId20"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3"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3"/>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4"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4"/>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 xml:space="preserve">Physical abuse happens when a child is deliberately hurt, causing physical harm. It can involve hitting, kicking, shaking, throwing, poisoning, </w:t>
      </w:r>
      <w:proofErr w:type="gramStart"/>
      <w:r>
        <w:t>burning</w:t>
      </w:r>
      <w:proofErr w:type="gramEnd"/>
      <w:r>
        <w:t xml:space="preserve">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5" w:name="_Hlk117248256"/>
      <w:r w:rsidRPr="00737CEC">
        <w:rPr>
          <w:szCs w:val="20"/>
        </w:rPr>
        <w:t>Hitting, slapping, pushing, kicking, misuse of medication, restraint, or inappropriate sanctions</w:t>
      </w:r>
      <w:bookmarkEnd w:id="55"/>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w:t>
      </w:r>
      <w:proofErr w:type="gramStart"/>
      <w:r w:rsidRPr="0001041C">
        <w:rPr>
          <w:rFonts w:cs="Arial"/>
          <w:szCs w:val="22"/>
          <w:lang w:val="en-GB" w:eastAsia="en-GB"/>
        </w:rPr>
        <w:t>rubbing</w:t>
      </w:r>
      <w:proofErr w:type="gramEnd"/>
      <w:r w:rsidRPr="0001041C">
        <w:rPr>
          <w:rFonts w:cs="Arial"/>
          <w:szCs w:val="22"/>
          <w:lang w:val="en-GB" w:eastAsia="en-GB"/>
        </w:rPr>
        <w:t xml:space="preserve">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 xml:space="preserve">Abusers may threaten to send sexually explicit images, </w:t>
      </w:r>
      <w:proofErr w:type="gramStart"/>
      <w:r>
        <w:t>video</w:t>
      </w:r>
      <w:proofErr w:type="gramEnd"/>
      <w:r>
        <w:t xml:space="preserve">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6" w:name="_Hlk117248266"/>
      <w:r w:rsidRPr="00737CEC">
        <w:rPr>
          <w:szCs w:val="20"/>
        </w:rPr>
        <w:t xml:space="preserve">Includes rape, indecent exposure, sexual harassment, inappropriate looking or touching, sexual teasing or innuendo, sexual photography, subjection to pornography or witnessing sexual acts, indecent exposure and sexual assault, or sexual acts to which the adult has not </w:t>
      </w:r>
      <w:proofErr w:type="gramStart"/>
      <w:r w:rsidRPr="00737CEC">
        <w:rPr>
          <w:szCs w:val="20"/>
        </w:rPr>
        <w:t>consented, or</w:t>
      </w:r>
      <w:proofErr w:type="gramEnd"/>
      <w:r w:rsidRPr="00737CEC">
        <w:rPr>
          <w:szCs w:val="20"/>
        </w:rPr>
        <w:t xml:space="preserve"> was pressured into consenting.</w:t>
      </w:r>
      <w:r>
        <w:t xml:space="preserve"> </w:t>
      </w:r>
      <w:bookmarkEnd w:id="56"/>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 xml:space="preserve">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w:t>
      </w:r>
      <w:proofErr w:type="gramStart"/>
      <w:r w:rsidRPr="0001041C">
        <w:rPr>
          <w:rFonts w:cs="Arial"/>
          <w:szCs w:val="22"/>
          <w:lang w:val="en-GB" w:eastAsia="en-GB"/>
        </w:rPr>
        <w:t>through the use of</w:t>
      </w:r>
      <w:proofErr w:type="gramEnd"/>
      <w:r w:rsidRPr="0001041C">
        <w:rPr>
          <w:rFonts w:cs="Arial"/>
          <w:szCs w:val="22"/>
          <w:lang w:val="en-GB" w:eastAsia="en-GB"/>
        </w:rPr>
        <w:t xml:space="preserve">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 xml:space="preserve">Covers a wide range of </w:t>
      </w:r>
      <w:proofErr w:type="spellStart"/>
      <w:r w:rsidRPr="00737CEC">
        <w:rPr>
          <w:szCs w:val="20"/>
        </w:rPr>
        <w:t>behaviour</w:t>
      </w:r>
      <w:proofErr w:type="spellEnd"/>
      <w:r w:rsidRPr="00737CEC">
        <w:rPr>
          <w:szCs w:val="20"/>
        </w:rPr>
        <w:t xml:space="preserve">, but it can be broadly defined as neglecting to care for one’s personal hygiene, health, or surroundings. An example of self-neglect is </w:t>
      </w:r>
      <w:proofErr w:type="spellStart"/>
      <w:r w:rsidRPr="00737CEC">
        <w:rPr>
          <w:szCs w:val="20"/>
        </w:rPr>
        <w:t>behaviour</w:t>
      </w:r>
      <w:proofErr w:type="spellEnd"/>
      <w:r w:rsidRPr="00737CEC">
        <w:rPr>
          <w:szCs w:val="20"/>
        </w:rPr>
        <w:t xml:space="preserve">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 xml:space="preserve">Encompasses slavery, human trafficking, forced </w:t>
      </w:r>
      <w:proofErr w:type="spellStart"/>
      <w:r w:rsidRPr="00737CEC">
        <w:rPr>
          <w:szCs w:val="20"/>
        </w:rPr>
        <w:t>labour</w:t>
      </w:r>
      <w:proofErr w:type="spellEnd"/>
      <w:r w:rsidRPr="00737CEC">
        <w:rPr>
          <w:szCs w:val="20"/>
        </w:rPr>
        <w:t>,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w:t>
      </w:r>
      <w:proofErr w:type="spellStart"/>
      <w:r>
        <w:t>behaviour</w:t>
      </w:r>
      <w:proofErr w:type="spellEnd"/>
      <w:r>
        <w:t xml:space="preserve">, violence or abuse between people who are, or who have been in a relationship, regardless of gender or sexuality. It can include physical, sexual, psychological, </w:t>
      </w:r>
      <w:proofErr w:type="gramStart"/>
      <w:r>
        <w:t>emotional</w:t>
      </w:r>
      <w:proofErr w:type="gramEnd"/>
      <w:r>
        <w:t xml:space="preserve">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 xml:space="preserve">Exposure to domestic abuse is child abuse. Children can be directly involved in incidents of domestic </w:t>
      </w:r>
      <w:proofErr w:type="gramStart"/>
      <w:r>
        <w:t>abuse</w:t>
      </w:r>
      <w:proofErr w:type="gramEnd"/>
      <w:r>
        <w:t xml:space="preserv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 xml:space="preserve">Abuse or bullying because of discrimination occurs when motivated by a prejudice against certain people or groups of people. This may be because of an individual’s ethnic origin, colour, nationality, race, religion or belief, gender, gender reassignment, sexual </w:t>
      </w:r>
      <w:proofErr w:type="gramStart"/>
      <w:r w:rsidRPr="00B81E79">
        <w:rPr>
          <w:rFonts w:cs="Arial"/>
          <w:szCs w:val="22"/>
          <w:lang w:val="en-GB" w:eastAsia="en-GB"/>
        </w:rPr>
        <w:t>orientation</w:t>
      </w:r>
      <w:proofErr w:type="gramEnd"/>
      <w:r w:rsidRPr="00B81E79">
        <w:rPr>
          <w:rFonts w:cs="Arial"/>
          <w:szCs w:val="22"/>
          <w:lang w:val="en-GB" w:eastAsia="en-GB"/>
        </w:rPr>
        <w:t xml:space="preserve"> or disability. Actions may include unfair or less favourable treatment, culturally insensitive comments, </w:t>
      </w:r>
      <w:proofErr w:type="gramStart"/>
      <w:r w:rsidRPr="00B81E79">
        <w:rPr>
          <w:rFonts w:cs="Arial"/>
          <w:szCs w:val="22"/>
          <w:lang w:val="en-GB" w:eastAsia="en-GB"/>
        </w:rPr>
        <w:t>insults</w:t>
      </w:r>
      <w:proofErr w:type="gramEnd"/>
      <w:r w:rsidRPr="00B81E79">
        <w:rPr>
          <w:rFonts w:cs="Arial"/>
          <w:szCs w:val="22"/>
          <w:lang w:val="en-GB" w:eastAsia="en-GB"/>
        </w:rPr>
        <w:t xml:space="preserve">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proofErr w:type="spellStart"/>
      <w:r w:rsidRPr="002E69FA">
        <w:rPr>
          <w:b/>
        </w:rPr>
        <w:t>Organisational</w:t>
      </w:r>
      <w:proofErr w:type="spellEnd"/>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 xml:space="preserve">setting, such as a hospital or care home, or in relation to care provided in one’s own home. </w:t>
      </w:r>
      <w:proofErr w:type="spellStart"/>
      <w:r w:rsidRPr="00737CEC">
        <w:rPr>
          <w:szCs w:val="20"/>
        </w:rPr>
        <w:t>Organisational</w:t>
      </w:r>
      <w:proofErr w:type="spellEnd"/>
      <w:r w:rsidRPr="00737CEC">
        <w:rPr>
          <w:szCs w:val="20"/>
        </w:rPr>
        <w:t xml:space="preserve"> abuse can range from one off incidents to ongoing ill-treatment. It can be through neglect or poor professional practice as a result of the structure, policies, processes and practices within an </w:t>
      </w:r>
      <w:proofErr w:type="spellStart"/>
      <w:proofErr w:type="gramStart"/>
      <w:r w:rsidRPr="00737CEC">
        <w:rPr>
          <w:szCs w:val="20"/>
        </w:rPr>
        <w:t>organisation</w:t>
      </w:r>
      <w:proofErr w:type="spellEnd"/>
      <w:proofErr w:type="gramEnd"/>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 xml:space="preserve">Includes theft, fraud, internet scamming, and coercion in relation to an adult’s financial affairs or arrangements, including in connection with wills, property, </w:t>
      </w:r>
      <w:proofErr w:type="gramStart"/>
      <w:r w:rsidRPr="00737CEC">
        <w:rPr>
          <w:szCs w:val="20"/>
        </w:rPr>
        <w:t>inheritance</w:t>
      </w:r>
      <w:proofErr w:type="gramEnd"/>
      <w:r w:rsidRPr="00737CEC">
        <w:rPr>
          <w:szCs w:val="20"/>
        </w:rPr>
        <w:t xml:space="preserv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w:t>
      </w:r>
      <w:proofErr w:type="spellStart"/>
      <w:r>
        <w:t>behaviour</w:t>
      </w:r>
      <w:proofErr w:type="spellEnd"/>
      <w:r>
        <w:t xml:space="preserve"> which is displayed by </w:t>
      </w:r>
      <w:proofErr w:type="gramStart"/>
      <w:r>
        <w:t>children</w:t>
      </w:r>
      <w:proofErr w:type="gramEnd"/>
      <w:r>
        <w:t xml:space="preserve"> and which may be harmful or abusive. It may also be referred to as sexually harmful </w:t>
      </w:r>
      <w:proofErr w:type="spellStart"/>
      <w:r>
        <w:t>behaviour</w:t>
      </w:r>
      <w:proofErr w:type="spellEnd"/>
      <w:r>
        <w:t xml:space="preserve"> or </w:t>
      </w:r>
      <w:proofErr w:type="spellStart"/>
      <w:r>
        <w:t>sexualised</w:t>
      </w:r>
      <w:proofErr w:type="spellEnd"/>
      <w:r>
        <w:t xml:space="preserve"> </w:t>
      </w:r>
      <w:proofErr w:type="spellStart"/>
      <w:r>
        <w:t>behaviour</w:t>
      </w:r>
      <w:proofErr w:type="spellEnd"/>
      <w:r>
        <w:t xml:space="preserve">.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w:t>
      </w:r>
      <w:proofErr w:type="spellStart"/>
      <w:r>
        <w:t>behaviour</w:t>
      </w:r>
      <w:proofErr w:type="spellEnd"/>
      <w:r>
        <w:t xml:space="preserve">, which can be displayed towards younger children, peers, older </w:t>
      </w:r>
      <w:proofErr w:type="gramStart"/>
      <w:r>
        <w:t>children</w:t>
      </w:r>
      <w:proofErr w:type="gramEnd"/>
      <w:r>
        <w:t xml:space="preserve">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 xml:space="preserve">Sexual </w:t>
      </w:r>
      <w:proofErr w:type="spellStart"/>
      <w:r>
        <w:t>behaviour</w:t>
      </w:r>
      <w:proofErr w:type="spellEnd"/>
      <w:r>
        <w:t xml:space="preserve">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w:t>
      </w:r>
      <w:proofErr w:type="gramStart"/>
      <w:r>
        <w:t>disabled</w:t>
      </w:r>
      <w:proofErr w:type="gramEnd"/>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 xml:space="preserve">Repeated behaviour intended to intimidate or upset a child and/or make them feel uncomfortable or unsafe, for example, name calling, exclusion or isolation, spreading rumours, embarrassing someone in public or in front of their peers, threatening to cause harm, physically hurting </w:t>
      </w:r>
      <w:proofErr w:type="gramStart"/>
      <w:r w:rsidRPr="006463A5">
        <w:rPr>
          <w:rFonts w:cs="Arial"/>
          <w:szCs w:val="22"/>
          <w:lang w:val="en-GB" w:eastAsia="en-GB"/>
        </w:rPr>
        <w:t>someone</w:t>
      </w:r>
      <w:proofErr w:type="gramEnd"/>
      <w:r w:rsidRPr="006463A5">
        <w:rPr>
          <w:rFonts w:cs="Arial"/>
          <w:szCs w:val="22"/>
          <w:lang w:val="en-GB" w:eastAsia="en-GB"/>
        </w:rPr>
        <w:t xml:space="preserv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w:t>
      </w:r>
      <w:proofErr w:type="gramStart"/>
      <w:r w:rsidRPr="006463A5">
        <w:rPr>
          <w:rFonts w:cs="Arial"/>
          <w:szCs w:val="22"/>
          <w:lang w:val="en-GB" w:eastAsia="en-GB"/>
        </w:rPr>
        <w:t>rumours</w:t>
      </w:r>
      <w:proofErr w:type="gramEnd"/>
      <w:r w:rsidRPr="006463A5">
        <w:rPr>
          <w:rFonts w:cs="Arial"/>
          <w:szCs w:val="22"/>
          <w:lang w:val="en-GB" w:eastAsia="en-GB"/>
        </w:rPr>
        <w:t xml:space="preserve">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 xml:space="preserve">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w:t>
      </w:r>
      <w:proofErr w:type="spellStart"/>
      <w:r>
        <w:t>labour</w:t>
      </w:r>
      <w:proofErr w:type="spellEnd"/>
      <w:r>
        <w:t>,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 xml:space="preserve">County line gangs pose a significant threat to children upon whom they </w:t>
      </w:r>
      <w:proofErr w:type="gramStart"/>
      <w:r w:rsidRPr="00B81E79">
        <w:rPr>
          <w:rFonts w:cs="Arial"/>
          <w:szCs w:val="22"/>
          <w:lang w:val="en-GB" w:eastAsia="en-GB"/>
        </w:rPr>
        <w:t>rely</w:t>
      </w:r>
      <w:proofErr w:type="gramEnd"/>
      <w:r w:rsidRPr="00B81E79">
        <w:rPr>
          <w:rFonts w:cs="Arial"/>
          <w:szCs w:val="22"/>
          <w:lang w:val="en-GB" w:eastAsia="en-GB"/>
        </w:rPr>
        <w:t xml:space="preserve">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w:t>
      </w:r>
      <w:proofErr w:type="gramStart"/>
      <w:r w:rsidRPr="00AF721D">
        <w:t>intentionally</w:t>
      </w:r>
      <w:proofErr w:type="gramEnd"/>
      <w:r w:rsidRPr="00AF721D">
        <w:t xml:space="preserve">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proofErr w:type="spellStart"/>
      <w:r w:rsidRPr="0001041C">
        <w:rPr>
          <w:b/>
          <w:bCs/>
        </w:rPr>
        <w:t>Honour</w:t>
      </w:r>
      <w:proofErr w:type="spellEnd"/>
      <w:r w:rsidRPr="0001041C">
        <w:rPr>
          <w:b/>
          <w:bCs/>
        </w:rPr>
        <w:t>-Based Violence</w:t>
      </w:r>
      <w:r>
        <w:rPr>
          <w:b/>
          <w:bCs/>
        </w:rPr>
        <w:t xml:space="preserve">: </w:t>
      </w:r>
      <w:proofErr w:type="spellStart"/>
      <w:r w:rsidRPr="0001041C">
        <w:t>Honour</w:t>
      </w:r>
      <w:proofErr w:type="spellEnd"/>
      <w:r w:rsidRPr="0001041C">
        <w:t xml:space="preserve">-Based Violence (HBV) encompasses crimes which have been committed to protect or defend the </w:t>
      </w:r>
      <w:proofErr w:type="spellStart"/>
      <w:r w:rsidRPr="0001041C">
        <w:t>honour</w:t>
      </w:r>
      <w:proofErr w:type="spellEnd"/>
      <w:r w:rsidRPr="0001041C">
        <w:t xml:space="preserve">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w:t>
      </w:r>
      <w:proofErr w:type="spellStart"/>
      <w:r w:rsidRPr="00B81E79">
        <w:t>behaviour</w:t>
      </w:r>
      <w:proofErr w:type="spellEnd"/>
      <w:r w:rsidRPr="00B81E79">
        <w:t xml:space="preserve">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 xml:space="preserve">Children can be taken advantage of or harmed by their peers. Peer-on-peer abuse is any form of physical, sexual, </w:t>
      </w:r>
      <w:proofErr w:type="gramStart"/>
      <w:r w:rsidRPr="00576481">
        <w:rPr>
          <w:rFonts w:cs="Arial"/>
          <w:szCs w:val="22"/>
          <w:lang w:val="en-GB" w:eastAsia="en-GB"/>
        </w:rPr>
        <w:t>emotional</w:t>
      </w:r>
      <w:proofErr w:type="gramEnd"/>
      <w:r w:rsidRPr="00576481">
        <w:rPr>
          <w:rFonts w:cs="Arial"/>
          <w:szCs w:val="22"/>
          <w:lang w:val="en-GB" w:eastAsia="en-GB"/>
        </w:rPr>
        <w:t xml:space="preserve">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proofErr w:type="spellStart"/>
      <w:r w:rsidRPr="00C530B6">
        <w:rPr>
          <w:b/>
          <w:bCs/>
        </w:rPr>
        <w:t>Radicalisation</w:t>
      </w:r>
      <w:proofErr w:type="spellEnd"/>
      <w:r>
        <w:rPr>
          <w:b/>
          <w:bCs/>
        </w:rPr>
        <w:t xml:space="preserve">: </w:t>
      </w:r>
      <w:r w:rsidRPr="00C530B6">
        <w:t xml:space="preserve">The process by which a person comes to support terrorism and forms of extremism leading to terrorism. Anybody from any background can become </w:t>
      </w:r>
      <w:proofErr w:type="spellStart"/>
      <w:r w:rsidRPr="00C530B6">
        <w:t>radicalised</w:t>
      </w:r>
      <w:proofErr w:type="spellEnd"/>
      <w:r w:rsidRPr="00C530B6">
        <w:t>.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7" w:name="_Toc126140407"/>
      <w:bookmarkStart w:id="58" w:name="_Toc126140442"/>
      <w:r w:rsidRPr="00F41F17">
        <w:t xml:space="preserve">APPENDIX </w:t>
      </w:r>
      <w:r w:rsidR="00C13553" w:rsidRPr="00F41F17">
        <w:t>D</w:t>
      </w:r>
      <w:r w:rsidRPr="00F41F17">
        <w:t>: LEGISLATION, GUIDANCE AND REGULATIONS</w:t>
      </w:r>
      <w:bookmarkEnd w:id="57"/>
      <w:bookmarkEnd w:id="58"/>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w:t>
      </w:r>
      <w:proofErr w:type="spellStart"/>
      <w:r w:rsidRPr="0001041C">
        <w:t>recognised</w:t>
      </w:r>
      <w:proofErr w:type="spellEnd"/>
      <w:r w:rsidRPr="0001041C">
        <w:t xml:space="preserve">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 xml:space="preserve">Getting It Right </w:t>
            </w:r>
            <w:proofErr w:type="gramStart"/>
            <w:r>
              <w:t>For</w:t>
            </w:r>
            <w:proofErr w:type="gramEnd"/>
            <w:r>
              <w:t xml:space="preserve">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361DB3">
        <w:t>carer</w:t>
      </w:r>
      <w:proofErr w:type="spellEnd"/>
      <w:r w:rsidRPr="00361DB3">
        <w:t xml:space="preserve">: </w:t>
      </w:r>
      <w:proofErr w:type="gramStart"/>
      <w:r w:rsidRPr="00361DB3">
        <w:t>e.g.</w:t>
      </w:r>
      <w:proofErr w:type="gramEnd"/>
      <w:r w:rsidRPr="00361DB3">
        <w:t xml:space="preserve">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59" w:name="_Toc126140408"/>
      <w:bookmarkStart w:id="60" w:name="_Toc126140443"/>
      <w:r w:rsidRPr="00F41F17">
        <w:t xml:space="preserve">APPENDIX </w:t>
      </w:r>
      <w:r w:rsidR="004E2991" w:rsidRPr="00F41F17">
        <w:t>E</w:t>
      </w:r>
      <w:r w:rsidRPr="00F41F17">
        <w:t>: ADDITIONAL INFORMATION AND SUPPORT</w:t>
      </w:r>
      <w:bookmarkEnd w:id="59"/>
      <w:bookmarkEnd w:id="60"/>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673645" w:rsidP="0019129F">
      <w:pPr>
        <w:jc w:val="both"/>
        <w:rPr>
          <w:rFonts w:cs="Arial"/>
          <w:color w:val="0000FF"/>
          <w:szCs w:val="22"/>
          <w:lang w:val="en-GB" w:eastAsia="en-GB"/>
        </w:rPr>
      </w:pPr>
      <w:hyperlink r:id="rId21" w:history="1">
        <w:r w:rsidR="0098115B"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w:t>
      </w:r>
      <w:proofErr w:type="gramStart"/>
      <w:r w:rsidRPr="006933FB">
        <w:rPr>
          <w:rFonts w:cs="Arial"/>
          <w:color w:val="000000"/>
          <w:szCs w:val="22"/>
          <w:lang w:val="en-GB" w:eastAsia="en-GB"/>
        </w:rPr>
        <w:t>support</w:t>
      </w:r>
      <w:proofErr w:type="gramEnd"/>
      <w:r w:rsidRPr="006933FB">
        <w:rPr>
          <w:rFonts w:cs="Arial"/>
          <w:color w:val="000000"/>
          <w:szCs w:val="22"/>
          <w:lang w:val="en-GB" w:eastAsia="en-GB"/>
        </w:rPr>
        <w:t xml:space="preserve">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w:t>
      </w:r>
      <w:proofErr w:type="gramStart"/>
      <w:r w:rsidRPr="00C21B93">
        <w:rPr>
          <w:rFonts w:cs="Arial"/>
          <w:color w:val="000000"/>
          <w:szCs w:val="22"/>
          <w:lang w:val="en-GB" w:eastAsia="en-GB"/>
        </w:rPr>
        <w:t>guidance</w:t>
      </w:r>
      <w:proofErr w:type="gramEnd"/>
      <w:r w:rsidRPr="00C21B93">
        <w:rPr>
          <w:rFonts w:cs="Arial"/>
          <w:color w:val="000000"/>
          <w:szCs w:val="22"/>
          <w:lang w:val="en-GB" w:eastAsia="en-GB"/>
        </w:rPr>
        <w:t xml:space="preserv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673645" w:rsidP="0019129F">
      <w:pPr>
        <w:jc w:val="both"/>
      </w:pPr>
      <w:hyperlink r:id="rId22" w:tooltip="help@nspcc.org.uk" w:history="1">
        <w:r w:rsidR="0098115B" w:rsidRPr="00AD749E">
          <w:rPr>
            <w:rStyle w:val="Hyperlink"/>
          </w:rPr>
          <w:t>help@nspcc.org.uk</w:t>
        </w:r>
      </w:hyperlink>
    </w:p>
    <w:p w14:paraId="0E8A31E6" w14:textId="77777777" w:rsidR="0098115B" w:rsidRPr="00AD749E" w:rsidRDefault="00673645" w:rsidP="0019129F">
      <w:pPr>
        <w:jc w:val="both"/>
      </w:pPr>
      <w:hyperlink r:id="rId23" w:history="1">
        <w:r w:rsidR="0098115B"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w:t>
      </w:r>
      <w:proofErr w:type="gramStart"/>
      <w:r w:rsidRPr="00C21B93">
        <w:rPr>
          <w:rFonts w:cs="Arial"/>
          <w:color w:val="000000"/>
          <w:szCs w:val="22"/>
          <w:lang w:val="en-GB" w:eastAsia="en-GB"/>
        </w:rPr>
        <w:t>schizophrenia</w:t>
      </w:r>
      <w:proofErr w:type="gramEnd"/>
      <w:r w:rsidRPr="00C21B93">
        <w:rPr>
          <w:rFonts w:cs="Arial"/>
          <w:color w:val="000000"/>
          <w:szCs w:val="22"/>
          <w:lang w:val="en-GB" w:eastAsia="en-GB"/>
        </w:rPr>
        <w:t xml:space="preserve">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 xml:space="preserve">The </w:t>
      </w:r>
      <w:proofErr w:type="gramStart"/>
      <w:r w:rsidRPr="004E44CD">
        <w:t>Survivors</w:t>
      </w:r>
      <w:proofErr w:type="gramEnd"/>
      <w:r w:rsidRPr="004E44CD">
        <w:t xml:space="preserve">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4"/>
      <w:footerReference w:type="default" r:id="rId25"/>
      <w:footerReference w:type="first" r:id="rId26"/>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3C56" w14:textId="77777777" w:rsidR="0098115B" w:rsidRDefault="0098115B">
      <w:r>
        <w:separator/>
      </w:r>
    </w:p>
  </w:endnote>
  <w:endnote w:type="continuationSeparator" w:id="0">
    <w:p w14:paraId="298C42F9" w14:textId="77777777" w:rsidR="0098115B" w:rsidRDefault="0098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Helvetica Neue">
    <w:charset w:val="00"/>
    <w:family w:val="auto"/>
    <w:pitch w:val="variable"/>
    <w:sig w:usb0="00000003" w:usb1="500079DB" w:usb2="00000010" w:usb3="00000000" w:csb0="00000001" w:csb1="00000000"/>
  </w:font>
  <w:font w:name="MarydaleBold">
    <w:panose1 w:val="00000000000000000000"/>
    <w:charset w:val="00"/>
    <w:family w:val="swiss"/>
    <w:notTrueType/>
    <w:pitch w:val="default"/>
    <w:sig w:usb0="00000003" w:usb1="00000000" w:usb2="00000000" w:usb3="00000000" w:csb0="00000001" w:csb1="00000000"/>
  </w:font>
  <w:font w:name="ITC Avant Garde Pro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GDDD J+ FS Alber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5A0D9A36"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521F" w14:textId="77777777" w:rsidR="0098115B" w:rsidRDefault="0098115B">
      <w:r>
        <w:separator/>
      </w:r>
    </w:p>
  </w:footnote>
  <w:footnote w:type="continuationSeparator" w:id="0">
    <w:p w14:paraId="52482444" w14:textId="77777777" w:rsidR="0098115B" w:rsidRDefault="0098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15B"/>
    <w:rsid w:val="0000494B"/>
    <w:rsid w:val="0003678A"/>
    <w:rsid w:val="00040D0E"/>
    <w:rsid w:val="000610E5"/>
    <w:rsid w:val="00061673"/>
    <w:rsid w:val="0009384D"/>
    <w:rsid w:val="000D1C03"/>
    <w:rsid w:val="000D693A"/>
    <w:rsid w:val="001732F1"/>
    <w:rsid w:val="0019129F"/>
    <w:rsid w:val="001C6B54"/>
    <w:rsid w:val="001F6046"/>
    <w:rsid w:val="002364AA"/>
    <w:rsid w:val="002479DD"/>
    <w:rsid w:val="00264E91"/>
    <w:rsid w:val="002670D2"/>
    <w:rsid w:val="002B4BEB"/>
    <w:rsid w:val="002E61B6"/>
    <w:rsid w:val="002F1E3E"/>
    <w:rsid w:val="003112CD"/>
    <w:rsid w:val="003B352C"/>
    <w:rsid w:val="003E2EF3"/>
    <w:rsid w:val="003F34DD"/>
    <w:rsid w:val="0047390B"/>
    <w:rsid w:val="004765A7"/>
    <w:rsid w:val="004E2991"/>
    <w:rsid w:val="00634787"/>
    <w:rsid w:val="00652A81"/>
    <w:rsid w:val="00673645"/>
    <w:rsid w:val="00692C43"/>
    <w:rsid w:val="00697ED6"/>
    <w:rsid w:val="006A667C"/>
    <w:rsid w:val="006E1A59"/>
    <w:rsid w:val="006F52E4"/>
    <w:rsid w:val="0071280A"/>
    <w:rsid w:val="00720B7B"/>
    <w:rsid w:val="00721A88"/>
    <w:rsid w:val="007318C9"/>
    <w:rsid w:val="007C72DC"/>
    <w:rsid w:val="007E146B"/>
    <w:rsid w:val="00812D4E"/>
    <w:rsid w:val="00867D2A"/>
    <w:rsid w:val="00870C09"/>
    <w:rsid w:val="008B0741"/>
    <w:rsid w:val="008C1811"/>
    <w:rsid w:val="008F59A9"/>
    <w:rsid w:val="0096163C"/>
    <w:rsid w:val="0098115B"/>
    <w:rsid w:val="009950C0"/>
    <w:rsid w:val="009E463A"/>
    <w:rsid w:val="00A12E1A"/>
    <w:rsid w:val="00A73CC2"/>
    <w:rsid w:val="00AA7905"/>
    <w:rsid w:val="00AC13ED"/>
    <w:rsid w:val="00AE7A34"/>
    <w:rsid w:val="00B82C2F"/>
    <w:rsid w:val="00B85D1C"/>
    <w:rsid w:val="00C0313D"/>
    <w:rsid w:val="00C07D86"/>
    <w:rsid w:val="00C13553"/>
    <w:rsid w:val="00C20C8B"/>
    <w:rsid w:val="00C943B7"/>
    <w:rsid w:val="00CB15F8"/>
    <w:rsid w:val="00CB70B0"/>
    <w:rsid w:val="00CC550C"/>
    <w:rsid w:val="00CD41F5"/>
    <w:rsid w:val="00CE3632"/>
    <w:rsid w:val="00CF4A69"/>
    <w:rsid w:val="00CF576A"/>
    <w:rsid w:val="00D06D4F"/>
    <w:rsid w:val="00D31C27"/>
    <w:rsid w:val="00D36BA0"/>
    <w:rsid w:val="00D82488"/>
    <w:rsid w:val="00DA2202"/>
    <w:rsid w:val="00DA6A2A"/>
    <w:rsid w:val="00DB3C54"/>
    <w:rsid w:val="00DE358A"/>
    <w:rsid w:val="00E3306E"/>
    <w:rsid w:val="00E65DDC"/>
    <w:rsid w:val="00F055ED"/>
    <w:rsid w:val="00F148D5"/>
    <w:rsid w:val="00F41F17"/>
    <w:rsid w:val="00F42633"/>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concern.lta.org.uk/" TargetMode="External"/><Relationship Id="rId13" Type="http://schemas.openxmlformats.org/officeDocument/2006/relationships/hyperlink" Target="https://safeguardingconcern.lta.org.uk/"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help@beateatingdisorders.org.uk" TargetMode="External"/><Relationship Id="rId7" Type="http://schemas.openxmlformats.org/officeDocument/2006/relationships/hyperlink" Target="https://www.lta.org.uk/about-us/safeguarding/venue-standards/" TargetMode="External"/><Relationship Id="rId12" Type="http://schemas.openxmlformats.org/officeDocument/2006/relationships/hyperlink" Target="https://learning.nspcc.org.uk/child-abuse-and-neglect/recognising-and-responding-to-abuse"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fecall.co.uk/report/" TargetMode="External"/><Relationship Id="rId20" Type="http://schemas.openxmlformats.org/officeDocument/2006/relationships/hyperlink" Target="https://www.anncrafttrust.org/resources/types-of-ha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elp@nspcc.org.uk" TargetMode="External"/><Relationship Id="rId23" Type="http://schemas.openxmlformats.org/officeDocument/2006/relationships/hyperlink" Target="tel:08088005000" TargetMode="External"/><Relationship Id="rId28" Type="http://schemas.openxmlformats.org/officeDocument/2006/relationships/theme" Target="theme/theme1.xml"/><Relationship Id="rId10" Type="http://schemas.openxmlformats.org/officeDocument/2006/relationships/hyperlink" Target="https://www.lta.org.uk/about-us/what-we-do/governance-and-structure/rules-regulations/" TargetMode="External"/><Relationship Id="rId19" Type="http://schemas.openxmlformats.org/officeDocument/2006/relationships/hyperlink" Target="https://www.nspcc.org.uk/what-is-child-abuse/types-of-abuse/" TargetMode="External"/><Relationship Id="rId4" Type="http://schemas.openxmlformats.org/officeDocument/2006/relationships/webSettings" Target="webSettings.xml"/><Relationship Id="rId9" Type="http://schemas.openxmlformats.org/officeDocument/2006/relationships/hyperlink" Target="https://www.lta.org.uk/about-us/what-we-do/governance-and-structure/rules-regulations/" TargetMode="Externa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7523</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Hobson, Nicole</cp:lastModifiedBy>
  <cp:revision>2</cp:revision>
  <cp:lastPrinted>1901-01-01T00:00:00Z</cp:lastPrinted>
  <dcterms:created xsi:type="dcterms:W3CDTF">2024-01-08T21:18:00Z</dcterms:created>
  <dcterms:modified xsi:type="dcterms:W3CDTF">2024-01-08T21:18:00Z</dcterms:modified>
</cp:coreProperties>
</file>